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33" w:rsidRPr="003949A9" w:rsidRDefault="00895233" w:rsidP="003949A9">
      <w:pPr>
        <w:jc w:val="both"/>
        <w:rPr>
          <w:rFonts w:ascii="Calibri" w:hAnsi="Calibri" w:cs="Arial"/>
          <w:b/>
          <w:color w:val="7F7F7F"/>
          <w:sz w:val="20"/>
          <w:szCs w:val="20"/>
        </w:rPr>
      </w:pPr>
    </w:p>
    <w:p w:rsidR="008F3CD9" w:rsidRDefault="008F3CD9" w:rsidP="003949A9">
      <w:pPr>
        <w:jc w:val="both"/>
        <w:rPr>
          <w:rFonts w:ascii="Calibri" w:hAnsi="Calibri" w:cs="Arial"/>
          <w:b/>
          <w:color w:val="7F7F7F"/>
          <w:sz w:val="32"/>
          <w:szCs w:val="32"/>
        </w:rPr>
      </w:pPr>
    </w:p>
    <w:p w:rsidR="00895233" w:rsidRPr="00007D21" w:rsidRDefault="00895233" w:rsidP="003949A9">
      <w:pPr>
        <w:jc w:val="both"/>
        <w:rPr>
          <w:rFonts w:ascii="Calibri" w:hAnsi="Calibri" w:cs="Arial"/>
          <w:b/>
          <w:color w:val="7F7F7F"/>
          <w:sz w:val="32"/>
          <w:szCs w:val="32"/>
        </w:rPr>
      </w:pPr>
      <w:r w:rsidRPr="00007D21">
        <w:rPr>
          <w:rFonts w:ascii="Calibri" w:hAnsi="Calibri" w:cs="Arial"/>
          <w:b/>
          <w:color w:val="7F7F7F"/>
          <w:sz w:val="32"/>
          <w:szCs w:val="32"/>
        </w:rPr>
        <w:t xml:space="preserve">TISKOVÁ ZPRÁVA </w:t>
      </w:r>
    </w:p>
    <w:p w:rsidR="002E18CC" w:rsidRDefault="002E18CC" w:rsidP="00F548EB">
      <w:pPr>
        <w:spacing w:line="276" w:lineRule="auto"/>
        <w:rPr>
          <w:rFonts w:ascii="Calibri" w:hAnsi="Calibri" w:cs="Arial"/>
          <w:b/>
          <w:color w:val="808080"/>
          <w:sz w:val="32"/>
          <w:szCs w:val="32"/>
        </w:rPr>
      </w:pPr>
      <w:r w:rsidRPr="002E18CC">
        <w:rPr>
          <w:rFonts w:ascii="Calibri" w:hAnsi="Calibri" w:cs="Arial"/>
          <w:b/>
          <w:color w:val="808080"/>
          <w:sz w:val="32"/>
          <w:szCs w:val="32"/>
        </w:rPr>
        <w:t>Obnova kostela v Konojedech a činnost muzea v Ústí nad Labem – to jsou nominace na Cenu NPÚ v roce 2017</w:t>
      </w:r>
    </w:p>
    <w:p w:rsidR="008F3CD9" w:rsidRDefault="008F3CD9" w:rsidP="00F548EB">
      <w:pPr>
        <w:spacing w:line="276" w:lineRule="auto"/>
        <w:rPr>
          <w:rFonts w:ascii="Calibri" w:hAnsi="Calibri" w:cs="Arial"/>
          <w:b/>
          <w:color w:val="808080"/>
          <w:sz w:val="32"/>
          <w:szCs w:val="32"/>
        </w:rPr>
      </w:pPr>
    </w:p>
    <w:p w:rsidR="00895233" w:rsidRPr="003930D0" w:rsidRDefault="00895233" w:rsidP="00F548EB">
      <w:pPr>
        <w:spacing w:line="276" w:lineRule="auto"/>
        <w:rPr>
          <w:sz w:val="22"/>
          <w:szCs w:val="22"/>
        </w:rPr>
      </w:pPr>
      <w:r w:rsidRPr="003930D0">
        <w:rPr>
          <w:sz w:val="22"/>
          <w:szCs w:val="22"/>
        </w:rPr>
        <w:t>(</w:t>
      </w:r>
      <w:r w:rsidRPr="003930D0">
        <w:rPr>
          <w:i/>
          <w:iCs/>
          <w:sz w:val="22"/>
          <w:szCs w:val="22"/>
        </w:rPr>
        <w:t xml:space="preserve">Ústí nad Labem, </w:t>
      </w:r>
      <w:r w:rsidR="002E18CC">
        <w:rPr>
          <w:i/>
          <w:iCs/>
          <w:sz w:val="22"/>
          <w:szCs w:val="22"/>
        </w:rPr>
        <w:t>10</w:t>
      </w:r>
      <w:r>
        <w:rPr>
          <w:i/>
          <w:iCs/>
          <w:sz w:val="22"/>
          <w:szCs w:val="22"/>
        </w:rPr>
        <w:t xml:space="preserve">. </w:t>
      </w:r>
      <w:r w:rsidR="002E18CC">
        <w:rPr>
          <w:i/>
          <w:iCs/>
          <w:sz w:val="22"/>
          <w:szCs w:val="22"/>
        </w:rPr>
        <w:t>května</w:t>
      </w:r>
      <w:r>
        <w:rPr>
          <w:i/>
          <w:iCs/>
          <w:sz w:val="22"/>
          <w:szCs w:val="22"/>
        </w:rPr>
        <w:t xml:space="preserve"> 2017</w:t>
      </w:r>
      <w:r w:rsidRPr="003930D0">
        <w:rPr>
          <w:sz w:val="22"/>
          <w:szCs w:val="22"/>
        </w:rPr>
        <w:t>)</w:t>
      </w:r>
    </w:p>
    <w:p w:rsidR="00895233" w:rsidRPr="003949A9" w:rsidRDefault="00895233" w:rsidP="00F548EB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sz w:val="4"/>
          <w:szCs w:val="4"/>
        </w:rPr>
      </w:pPr>
    </w:p>
    <w:p w:rsidR="002E18CC" w:rsidRPr="00684E0F" w:rsidRDefault="002E18CC" w:rsidP="008F3CD9">
      <w:pPr>
        <w:pStyle w:val="Nadpis1"/>
        <w:spacing w:line="360" w:lineRule="auto"/>
        <w:jc w:val="both"/>
        <w:rPr>
          <w:rFonts w:ascii="Calibri" w:hAnsi="Calibri" w:cs="Arial"/>
          <w:bCs w:val="0"/>
          <w:kern w:val="0"/>
          <w:sz w:val="24"/>
          <w:szCs w:val="24"/>
        </w:rPr>
      </w:pPr>
      <w:r w:rsidRPr="00684E0F">
        <w:rPr>
          <w:rFonts w:ascii="Calibri" w:hAnsi="Calibri" w:cs="Arial"/>
          <w:bCs w:val="0"/>
          <w:kern w:val="0"/>
          <w:sz w:val="24"/>
          <w:szCs w:val="24"/>
        </w:rPr>
        <w:t xml:space="preserve">Cena Národního památkového ústavu </w:t>
      </w:r>
      <w:r w:rsidRPr="00684E0F">
        <w:rPr>
          <w:rFonts w:ascii="Calibri" w:hAnsi="Calibri" w:cs="Arial"/>
          <w:bCs w:val="0"/>
          <w:i/>
          <w:kern w:val="0"/>
          <w:sz w:val="24"/>
          <w:szCs w:val="24"/>
        </w:rPr>
        <w:t>Patrimonium pro futuro</w:t>
      </w:r>
      <w:r w:rsidRPr="00684E0F">
        <w:rPr>
          <w:rFonts w:ascii="Calibri" w:hAnsi="Calibri" w:cs="Arial"/>
          <w:bCs w:val="0"/>
          <w:kern w:val="0"/>
          <w:sz w:val="24"/>
          <w:szCs w:val="24"/>
        </w:rPr>
        <w:t xml:space="preserve"> s podtitulem Společenské ocenění příkladů dobré praxe je Národním památkovým ústavem vyhlašována letos již počtvrté. Smyslem ceny je upozornit na pozitivní příklady a příběhy v oblasti památkové péče, ukázat, co se povedlo, a ocenit ty, kteří se o to zasloužili. Za Ústecký kraj je na Cenu NPÚ nominována obnova kostela Nanebevzetí Panny Marie v Konojedech (kategorie </w:t>
      </w:r>
      <w:r w:rsidRPr="00684E0F">
        <w:rPr>
          <w:rFonts w:ascii="Calibri" w:hAnsi="Calibri" w:cs="Arial"/>
          <w:bCs w:val="0"/>
          <w:i/>
          <w:kern w:val="0"/>
          <w:sz w:val="24"/>
          <w:szCs w:val="24"/>
        </w:rPr>
        <w:t>Obnova památky</w:t>
      </w:r>
      <w:r w:rsidRPr="00684E0F">
        <w:rPr>
          <w:rFonts w:ascii="Calibri" w:hAnsi="Calibri" w:cs="Arial"/>
          <w:bCs w:val="0"/>
          <w:kern w:val="0"/>
          <w:sz w:val="24"/>
          <w:szCs w:val="24"/>
        </w:rPr>
        <w:t xml:space="preserve">) a Muzeum města Ústí nad Labem (kategorie </w:t>
      </w:r>
      <w:r w:rsidRPr="00684E0F">
        <w:rPr>
          <w:rFonts w:ascii="Calibri" w:hAnsi="Calibri" w:cs="Arial"/>
          <w:bCs w:val="0"/>
          <w:i/>
          <w:kern w:val="0"/>
          <w:sz w:val="24"/>
          <w:szCs w:val="24"/>
        </w:rPr>
        <w:t>Prezentace hodnot</w:t>
      </w:r>
      <w:r w:rsidRPr="00684E0F">
        <w:rPr>
          <w:rFonts w:ascii="Calibri" w:hAnsi="Calibri" w:cs="Arial"/>
          <w:bCs w:val="0"/>
          <w:kern w:val="0"/>
          <w:sz w:val="24"/>
          <w:szCs w:val="24"/>
        </w:rPr>
        <w:t>).</w:t>
      </w:r>
    </w:p>
    <w:p w:rsidR="002E18CC" w:rsidRPr="002E18CC" w:rsidRDefault="002E18CC" w:rsidP="002E18CC"/>
    <w:p w:rsidR="002E18CC" w:rsidRDefault="002E18CC" w:rsidP="002E18CC">
      <w:pPr>
        <w:spacing w:line="276" w:lineRule="auto"/>
        <w:jc w:val="both"/>
        <w:rPr>
          <w:rFonts w:ascii="Cambria" w:hAnsi="Cambria"/>
          <w:b/>
          <w:bCs/>
          <w:kern w:val="32"/>
          <w:sz w:val="32"/>
          <w:szCs w:val="32"/>
        </w:rPr>
      </w:pPr>
      <w:r w:rsidRPr="002E18CC">
        <w:rPr>
          <w:rFonts w:ascii="Cambria" w:hAnsi="Cambria"/>
          <w:b/>
          <w:bCs/>
          <w:kern w:val="32"/>
          <w:sz w:val="32"/>
          <w:szCs w:val="32"/>
        </w:rPr>
        <w:t>Obnova kostela Nanebevzetí Panny Marie v</w:t>
      </w:r>
      <w:r>
        <w:rPr>
          <w:rFonts w:ascii="Cambria" w:hAnsi="Cambria"/>
          <w:b/>
          <w:bCs/>
          <w:kern w:val="32"/>
          <w:sz w:val="32"/>
          <w:szCs w:val="32"/>
        </w:rPr>
        <w:t> </w:t>
      </w:r>
      <w:r w:rsidRPr="002E18CC">
        <w:rPr>
          <w:rFonts w:ascii="Cambria" w:hAnsi="Cambria"/>
          <w:b/>
          <w:bCs/>
          <w:kern w:val="32"/>
          <w:sz w:val="32"/>
          <w:szCs w:val="32"/>
        </w:rPr>
        <w:t>Konojedech</w:t>
      </w:r>
    </w:p>
    <w:p w:rsidR="002E18CC" w:rsidRPr="002E18CC" w:rsidRDefault="002E18CC" w:rsidP="008F3CD9">
      <w:pPr>
        <w:spacing w:line="360" w:lineRule="auto"/>
        <w:ind w:firstLine="227"/>
        <w:jc w:val="both"/>
        <w:rPr>
          <w:rFonts w:ascii="Calibri" w:hAnsi="Calibri"/>
          <w:sz w:val="22"/>
        </w:rPr>
      </w:pPr>
      <w:r w:rsidRPr="002E18CC">
        <w:rPr>
          <w:rFonts w:ascii="Calibri" w:hAnsi="Calibri"/>
          <w:sz w:val="22"/>
        </w:rPr>
        <w:t>Dne 24. září 2016 se po čtrnácti měsících rekonstrukce slavnostně otevřel pro veřejnost kostel Nanebevzetí Panny Marie v Konojedech u Úštěku. Slavnostnímu zakončení obnovy předcházelo mnohaleté období nejistoty a obavy o zachování této neobyčejné kulturní památky.</w:t>
      </w:r>
    </w:p>
    <w:p w:rsidR="002E18CC" w:rsidRPr="002E18CC" w:rsidRDefault="002E18CC" w:rsidP="008F3CD9">
      <w:pPr>
        <w:spacing w:line="360" w:lineRule="auto"/>
        <w:ind w:firstLine="227"/>
        <w:jc w:val="both"/>
        <w:rPr>
          <w:rFonts w:ascii="Calibri" w:hAnsi="Calibri"/>
          <w:sz w:val="22"/>
        </w:rPr>
      </w:pPr>
      <w:r w:rsidRPr="002E18CC">
        <w:rPr>
          <w:rFonts w:ascii="Calibri" w:hAnsi="Calibri"/>
          <w:sz w:val="22"/>
        </w:rPr>
        <w:t>Pozdně barokní kostel Nanebevzetí Panny Marie v Konojedech byl postaven v intravilánu obce na</w:t>
      </w:r>
      <w:r w:rsidR="008F3CD9">
        <w:rPr>
          <w:rFonts w:ascii="Calibri" w:hAnsi="Calibri"/>
          <w:sz w:val="22"/>
        </w:rPr>
        <w:t> </w:t>
      </w:r>
      <w:r w:rsidRPr="002E18CC">
        <w:rPr>
          <w:rFonts w:ascii="Calibri" w:hAnsi="Calibri"/>
          <w:sz w:val="22"/>
        </w:rPr>
        <w:t>vyvýšené skalnaté plošině, se strmým západním a jižním srázem, tedy přesněji na jejím jihozápadním nároží. Kostel byl vystavěn na místě staršího raně barokního kostela ze samého sklonku 17. století. Do nového většího kostela z něho byla zakomponována valeně klenutá západní krypta.</w:t>
      </w:r>
    </w:p>
    <w:p w:rsidR="002E18CC" w:rsidRPr="002E18CC" w:rsidRDefault="002E18CC" w:rsidP="008F3CD9">
      <w:pPr>
        <w:spacing w:line="360" w:lineRule="auto"/>
        <w:ind w:firstLine="227"/>
        <w:jc w:val="both"/>
        <w:rPr>
          <w:rFonts w:ascii="Calibri" w:hAnsi="Calibri"/>
          <w:sz w:val="22"/>
        </w:rPr>
      </w:pPr>
      <w:r w:rsidRPr="002E18CC">
        <w:rPr>
          <w:rFonts w:ascii="Calibri" w:hAnsi="Calibri"/>
          <w:sz w:val="22"/>
        </w:rPr>
        <w:t>Kostel Nanebevzetí Panny Marie je orientovanou, zděnou, půdorysně obdélnou stavbou, s</w:t>
      </w:r>
      <w:r w:rsidR="008F3CD9">
        <w:rPr>
          <w:rFonts w:ascii="Calibri" w:hAnsi="Calibri"/>
          <w:sz w:val="22"/>
        </w:rPr>
        <w:t> </w:t>
      </w:r>
      <w:r w:rsidRPr="002E18CC">
        <w:rPr>
          <w:rFonts w:ascii="Calibri" w:hAnsi="Calibri"/>
          <w:sz w:val="22"/>
        </w:rPr>
        <w:t>osovou hranolovou věží přiloženou k východní straně a s půdorysně, v ose východ</w:t>
      </w:r>
      <w:r w:rsidR="008F3CD9">
        <w:rPr>
          <w:rFonts w:ascii="Calibri" w:hAnsi="Calibri"/>
          <w:sz w:val="22"/>
        </w:rPr>
        <w:t>–</w:t>
      </w:r>
      <w:r w:rsidRPr="002E18CC">
        <w:rPr>
          <w:rFonts w:ascii="Calibri" w:hAnsi="Calibri"/>
          <w:sz w:val="22"/>
        </w:rPr>
        <w:t>západ, obdélnou, patrovou, zděnou přístavbou sakristie s řádovou oratoří při severní straně. Východně od kostela se rozkládá čtyřkřídlý pozdně barokní konvent servitů, přestavěný později na zámek. Tento je s</w:t>
      </w:r>
      <w:r w:rsidR="008F3CD9">
        <w:rPr>
          <w:rFonts w:ascii="Calibri" w:hAnsi="Calibri"/>
          <w:sz w:val="22"/>
        </w:rPr>
        <w:t> </w:t>
      </w:r>
      <w:r w:rsidRPr="002E18CC">
        <w:rPr>
          <w:rFonts w:ascii="Calibri" w:hAnsi="Calibri"/>
          <w:sz w:val="22"/>
        </w:rPr>
        <w:t>kostelem, resp. se sakristií, propojen zděným patrovým krčkem s chodbami. Interiér kostela je jednolodní, loď i chór jsou valeně zaklenuty. Kostel s bývalým konventem tvoří neoddělitelný historický celek s vysokým kulturně-historickým významem, a to nejen úzce regionálním (mimo jiné nesporná urbanistická a</w:t>
      </w:r>
      <w:r w:rsidR="00684E0F">
        <w:rPr>
          <w:rFonts w:ascii="Calibri" w:hAnsi="Calibri"/>
          <w:sz w:val="22"/>
        </w:rPr>
        <w:t> </w:t>
      </w:r>
      <w:r w:rsidRPr="002E18CC">
        <w:rPr>
          <w:rFonts w:ascii="Calibri" w:hAnsi="Calibri"/>
          <w:sz w:val="22"/>
        </w:rPr>
        <w:t>architektonická dominanta obce), ale i v širším měřítku celorepublikovém (konojedský konvent byl nejmladším, zároveň tím nejdůležitějším servitským klášterem v české provincii).</w:t>
      </w:r>
    </w:p>
    <w:p w:rsidR="002E18CC" w:rsidRPr="002E18CC" w:rsidRDefault="002E18CC" w:rsidP="008F3CD9">
      <w:pPr>
        <w:spacing w:line="360" w:lineRule="auto"/>
        <w:ind w:firstLine="227"/>
        <w:jc w:val="both"/>
        <w:rPr>
          <w:rFonts w:ascii="Calibri" w:hAnsi="Calibri"/>
          <w:sz w:val="22"/>
        </w:rPr>
      </w:pPr>
      <w:r w:rsidRPr="002E18CC">
        <w:rPr>
          <w:rFonts w:ascii="Calibri" w:hAnsi="Calibri"/>
          <w:sz w:val="22"/>
        </w:rPr>
        <w:lastRenderedPageBreak/>
        <w:t>V roce 2011 prodala církev kostel privátnímu majiteli, který začal pracovat na celkové revitalizaci kostela. V roce 2014 byl zpracován projekt revitalizace kostela, pro občanské sdružení „Společnost pro obnovu Úštěcka“, která převzala kostel v lednu 2014 a pomáhá ho soukromému majiteli spravovat. V</w:t>
      </w:r>
      <w:r w:rsidR="00206149">
        <w:rPr>
          <w:rFonts w:ascii="Calibri" w:hAnsi="Calibri"/>
          <w:sz w:val="22"/>
        </w:rPr>
        <w:t> </w:t>
      </w:r>
      <w:r w:rsidRPr="002E18CC">
        <w:rPr>
          <w:rFonts w:ascii="Calibri" w:hAnsi="Calibri"/>
          <w:sz w:val="22"/>
        </w:rPr>
        <w:t>červnu 2014 podalo občanské sdružení žádost o grant do tzv. Norských fondů a v říjnu téhož roku byla žádost projednána hodnotící komisí a doporučena zprostředkovateli programu k</w:t>
      </w:r>
      <w:r w:rsidR="008F3CD9">
        <w:rPr>
          <w:rFonts w:ascii="Calibri" w:hAnsi="Calibri"/>
          <w:sz w:val="22"/>
        </w:rPr>
        <w:t> </w:t>
      </w:r>
      <w:r w:rsidRPr="002E18CC">
        <w:rPr>
          <w:rFonts w:ascii="Calibri" w:hAnsi="Calibri"/>
          <w:sz w:val="22"/>
        </w:rPr>
        <w:t xml:space="preserve">poskytnutí grantu. Celkové výdaje </w:t>
      </w:r>
      <w:r w:rsidR="001530DE">
        <w:rPr>
          <w:rFonts w:ascii="Calibri" w:hAnsi="Calibri"/>
          <w:sz w:val="22"/>
        </w:rPr>
        <w:t xml:space="preserve">na realizaci projektu činily 32 301 </w:t>
      </w:r>
      <w:r w:rsidRPr="002E18CC">
        <w:rPr>
          <w:rFonts w:ascii="Calibri" w:hAnsi="Calibri"/>
          <w:sz w:val="22"/>
        </w:rPr>
        <w:t>943,-</w:t>
      </w:r>
      <w:r w:rsidR="008F3CD9">
        <w:rPr>
          <w:rFonts w:ascii="Calibri" w:hAnsi="Calibri"/>
          <w:sz w:val="22"/>
        </w:rPr>
        <w:t xml:space="preserve"> </w:t>
      </w:r>
      <w:r w:rsidRPr="002E18CC">
        <w:rPr>
          <w:rFonts w:ascii="Calibri" w:hAnsi="Calibri"/>
          <w:sz w:val="22"/>
        </w:rPr>
        <w:t>Kč. D</w:t>
      </w:r>
      <w:r w:rsidR="001530DE">
        <w:rPr>
          <w:rFonts w:ascii="Calibri" w:hAnsi="Calibri"/>
          <w:sz w:val="22"/>
        </w:rPr>
        <w:t xml:space="preserve">otace ve výši 90% pak činila 29 071 </w:t>
      </w:r>
      <w:r w:rsidRPr="002E18CC">
        <w:rPr>
          <w:rFonts w:ascii="Calibri" w:hAnsi="Calibri"/>
          <w:sz w:val="22"/>
        </w:rPr>
        <w:t>748,-</w:t>
      </w:r>
      <w:r w:rsidR="008F3CD9">
        <w:rPr>
          <w:rFonts w:ascii="Calibri" w:hAnsi="Calibri"/>
          <w:sz w:val="22"/>
        </w:rPr>
        <w:t xml:space="preserve"> </w:t>
      </w:r>
      <w:r w:rsidRPr="002E18CC">
        <w:rPr>
          <w:rFonts w:ascii="Calibri" w:hAnsi="Calibri"/>
          <w:sz w:val="22"/>
        </w:rPr>
        <w:t>Kč. Z těchto prostředků byla realizována oprava fasád, statické zajištění, obnova interiéru včetně restaurování dveří a zachovaného mobiliáře. Byl opraven krov a vyměněna krytina nad oratoří, obnoveny podlahy, elektroinstalace a interiér byl kompletně vymalován. Vedle stavební činnosti probíhaly i práce restaurátorů. Restaurována byla architektura 7 mramorových oltářů, kazatelna, interiérové dveře, soubor dubových lavic, kříž a Boží oko na západní fasádě lodi kostela. Po</w:t>
      </w:r>
      <w:r w:rsidR="008F3CD9">
        <w:rPr>
          <w:rFonts w:ascii="Calibri" w:hAnsi="Calibri"/>
          <w:sz w:val="22"/>
        </w:rPr>
        <w:t> </w:t>
      </w:r>
      <w:r w:rsidRPr="002E18CC">
        <w:rPr>
          <w:rFonts w:ascii="Calibri" w:hAnsi="Calibri"/>
          <w:sz w:val="22"/>
        </w:rPr>
        <w:t>vypsání veřejné zakázky a výběru dodavatele byly v červnu 2015 zahájeny práce na</w:t>
      </w:r>
      <w:r w:rsidR="008F3CD9">
        <w:rPr>
          <w:rFonts w:ascii="Calibri" w:hAnsi="Calibri"/>
          <w:sz w:val="22"/>
        </w:rPr>
        <w:t> </w:t>
      </w:r>
      <w:r w:rsidRPr="002E18CC">
        <w:rPr>
          <w:rFonts w:ascii="Calibri" w:hAnsi="Calibri"/>
          <w:sz w:val="22"/>
        </w:rPr>
        <w:t>revitalizaci kostela.</w:t>
      </w:r>
    </w:p>
    <w:p w:rsidR="002E18CC" w:rsidRPr="002E18CC" w:rsidRDefault="002E18CC" w:rsidP="008F3CD9">
      <w:pPr>
        <w:spacing w:line="360" w:lineRule="auto"/>
        <w:ind w:firstLine="227"/>
        <w:jc w:val="both"/>
        <w:rPr>
          <w:rFonts w:ascii="Calibri" w:hAnsi="Calibri"/>
          <w:sz w:val="22"/>
        </w:rPr>
      </w:pPr>
      <w:r w:rsidRPr="002E18CC">
        <w:rPr>
          <w:rFonts w:ascii="Calibri" w:hAnsi="Calibri"/>
          <w:sz w:val="22"/>
        </w:rPr>
        <w:t>V srpnu 2016 byly, po více než 14 měsících usilovné práce, úspěšně dokončeny stavebně restaurátorské práce projektu revitalizace financovaného z EHP a Norských fondů 2009–2014. Cílem projektu byla záchrana a zpřístupnění kostela, který byl více jak dvacet let veřejnosti uzavřen. Kostel byl staticky zajištěn, obnoveny byly fasády, interiér a restaurován byl dochovaný mobiliář.</w:t>
      </w:r>
    </w:p>
    <w:p w:rsidR="001530DE" w:rsidRDefault="002E18CC" w:rsidP="001530DE">
      <w:pPr>
        <w:spacing w:line="360" w:lineRule="auto"/>
        <w:ind w:firstLine="227"/>
        <w:jc w:val="both"/>
        <w:rPr>
          <w:rFonts w:ascii="Calibri" w:hAnsi="Calibri"/>
          <w:sz w:val="22"/>
        </w:rPr>
      </w:pPr>
      <w:r w:rsidRPr="002E18CC">
        <w:rPr>
          <w:rFonts w:ascii="Calibri" w:hAnsi="Calibri"/>
          <w:sz w:val="22"/>
        </w:rPr>
        <w:t>Osud kostela a zámku se zdál být zpečetěn ještě v 90. letech 20. století, kdy se areál stal předmětem zástavních bankovních machinací, krovy a střechy zámku se začaly propadat, a kostel byl vydán napospas „sběratelům“ čehokoliv. Neuchopitelnost obnovy a gigantická rozloha areálu odrazovala potencionální investory. V této souvislosti je nutné vyzdvihnout činnost občanských sdružení, která se nezalekla problematického areálu, a s patřičným odhodláním i trochou naivity neustále propagovala areál v Konojedech a konáním kulturních akcí v kostele nedala zapomenout na</w:t>
      </w:r>
      <w:r w:rsidR="008F3CD9">
        <w:rPr>
          <w:rFonts w:ascii="Calibri" w:hAnsi="Calibri"/>
          <w:sz w:val="22"/>
        </w:rPr>
        <w:t> </w:t>
      </w:r>
      <w:r w:rsidRPr="002E18CC">
        <w:rPr>
          <w:rFonts w:ascii="Calibri" w:hAnsi="Calibri"/>
          <w:sz w:val="22"/>
        </w:rPr>
        <w:t>tento architektonický skvost. Díky odvaze konkrétních jednotlivců, můžeme dnes obdivovat krásu barokního areálu, který má svoji budoucnost ještě před sebou.</w:t>
      </w:r>
    </w:p>
    <w:p w:rsidR="001530DE" w:rsidRPr="001530DE" w:rsidRDefault="001530DE" w:rsidP="001530DE">
      <w:pPr>
        <w:spacing w:line="360" w:lineRule="auto"/>
        <w:ind w:firstLine="227"/>
        <w:jc w:val="both"/>
        <w:rPr>
          <w:rFonts w:ascii="Calibri" w:hAnsi="Calibri"/>
          <w:sz w:val="22"/>
        </w:rPr>
      </w:pPr>
    </w:p>
    <w:p w:rsidR="002E18CC" w:rsidRDefault="002E18CC" w:rsidP="00F548EB">
      <w:pPr>
        <w:spacing w:line="276" w:lineRule="auto"/>
        <w:jc w:val="both"/>
        <w:rPr>
          <w:rFonts w:ascii="Cambria" w:hAnsi="Cambria"/>
          <w:b/>
          <w:bCs/>
          <w:kern w:val="32"/>
          <w:sz w:val="32"/>
          <w:szCs w:val="32"/>
        </w:rPr>
      </w:pPr>
      <w:r w:rsidRPr="002E18CC">
        <w:rPr>
          <w:rFonts w:ascii="Cambria" w:hAnsi="Cambria"/>
          <w:b/>
          <w:bCs/>
          <w:kern w:val="32"/>
          <w:sz w:val="32"/>
          <w:szCs w:val="32"/>
        </w:rPr>
        <w:t>Činnost Muzea města Ústí nad Labem</w:t>
      </w:r>
    </w:p>
    <w:p w:rsidR="002E18CC" w:rsidRPr="002E18CC" w:rsidRDefault="002E18CC" w:rsidP="008F3CD9">
      <w:pPr>
        <w:spacing w:line="360" w:lineRule="auto"/>
        <w:ind w:firstLine="227"/>
        <w:jc w:val="both"/>
        <w:rPr>
          <w:rFonts w:ascii="Calibri" w:hAnsi="Calibri"/>
          <w:bCs/>
          <w:sz w:val="22"/>
        </w:rPr>
      </w:pPr>
      <w:r w:rsidRPr="002E18CC">
        <w:rPr>
          <w:rFonts w:ascii="Calibri" w:hAnsi="Calibri"/>
          <w:bCs/>
          <w:sz w:val="22"/>
        </w:rPr>
        <w:t>Ústecké muzeum patří k nejstarším a zároveň nejvýznamnějším institucím svého druhu v České republice. Vzniklo v roce 1876 péčí Ústeckého Průmyslového spolku, dnes je příspěvkovou organizací města Ústí nad Labem a spravuje 1, 1 mil. sbírkových předmětů. Dlouhodobě se věnuje prezentaci významných, ale v celorepublikovém kontextu opomíjených témat (projekt „Ústecká nej“, výstava „Tenkrát na severozápadě“, soustavná badatelská činnost věnovaná popularizaci ústecké architektury 19. století a průmyslovému dědictví), velký důraz je přitom kladen na posilování regionální identity. Muzeum 2 x ročně vydává Ústecký sborník historický. Nominováno je za dva významné výstavní projekty, realizované v roce 2016:</w:t>
      </w:r>
    </w:p>
    <w:p w:rsidR="002E18CC" w:rsidRPr="002E18CC" w:rsidRDefault="002E18CC" w:rsidP="008F3CD9">
      <w:pPr>
        <w:spacing w:line="360" w:lineRule="auto"/>
        <w:ind w:firstLine="227"/>
        <w:jc w:val="both"/>
        <w:rPr>
          <w:rFonts w:ascii="Calibri" w:hAnsi="Calibri"/>
          <w:bCs/>
          <w:sz w:val="22"/>
        </w:rPr>
      </w:pPr>
      <w:r w:rsidRPr="008F3CD9">
        <w:rPr>
          <w:rFonts w:ascii="Calibri" w:hAnsi="Calibri"/>
          <w:b/>
          <w:bCs/>
          <w:sz w:val="22"/>
        </w:rPr>
        <w:lastRenderedPageBreak/>
        <w:t>Plavba na páře</w:t>
      </w:r>
      <w:r w:rsidRPr="002E18CC">
        <w:rPr>
          <w:rFonts w:ascii="Calibri" w:hAnsi="Calibri"/>
          <w:bCs/>
          <w:sz w:val="22"/>
        </w:rPr>
        <w:t xml:space="preserve"> (termín 2. 6. 2016 – 30. 12. 2016): výstava pro veřejnost „objevila“ Ústí nad Labem jako nejvýznamnější přístav Rakouska-Uherska, kde se v dobách největšího rozkvětu (1903) ročně obrátilo sedm tisíc lodí se 3,6 milión</w:t>
      </w:r>
      <w:r w:rsidR="001530DE">
        <w:rPr>
          <w:rFonts w:ascii="Calibri" w:hAnsi="Calibri"/>
          <w:bCs/>
          <w:sz w:val="22"/>
        </w:rPr>
        <w:t>y tun nákladu a 250 000 pasažérů</w:t>
      </w:r>
      <w:r w:rsidRPr="002E18CC">
        <w:rPr>
          <w:rFonts w:ascii="Calibri" w:hAnsi="Calibri"/>
          <w:bCs/>
          <w:sz w:val="22"/>
        </w:rPr>
        <w:t>. Mimo jiné zmínila i</w:t>
      </w:r>
      <w:r w:rsidR="008F3CD9">
        <w:rPr>
          <w:rFonts w:ascii="Calibri" w:hAnsi="Calibri"/>
          <w:bCs/>
          <w:sz w:val="22"/>
        </w:rPr>
        <w:t> </w:t>
      </w:r>
      <w:r w:rsidRPr="002E18CC">
        <w:rPr>
          <w:rFonts w:ascii="Calibri" w:hAnsi="Calibri"/>
          <w:bCs/>
          <w:sz w:val="22"/>
        </w:rPr>
        <w:t>věhlas Ústeckých loděnic, kde byly v roce 1938 postaveny dva největší československé parníky – jedním z</w:t>
      </w:r>
      <w:r w:rsidR="001530DE">
        <w:rPr>
          <w:rFonts w:ascii="Calibri" w:hAnsi="Calibri"/>
          <w:bCs/>
          <w:sz w:val="22"/>
        </w:rPr>
        <w:t> </w:t>
      </w:r>
      <w:r w:rsidRPr="002E18CC">
        <w:rPr>
          <w:rFonts w:ascii="Calibri" w:hAnsi="Calibri"/>
          <w:bCs/>
          <w:sz w:val="22"/>
        </w:rPr>
        <w:t>nich je Vyšehrad (dříve Antonín Švehla), který je dnes prohlášenou kulturní památkou.</w:t>
      </w:r>
    </w:p>
    <w:p w:rsidR="002E18CC" w:rsidRDefault="002E18CC" w:rsidP="008F3CD9">
      <w:pPr>
        <w:spacing w:line="360" w:lineRule="auto"/>
        <w:ind w:firstLine="227"/>
        <w:jc w:val="both"/>
        <w:rPr>
          <w:rFonts w:ascii="Calibri" w:hAnsi="Calibri"/>
          <w:bCs/>
          <w:sz w:val="22"/>
        </w:rPr>
      </w:pPr>
      <w:r w:rsidRPr="008F3CD9">
        <w:rPr>
          <w:rFonts w:ascii="Calibri" w:hAnsi="Calibri"/>
          <w:b/>
          <w:bCs/>
          <w:sz w:val="22"/>
        </w:rPr>
        <w:t>E. G. Doerell a jeho svět</w:t>
      </w:r>
      <w:r w:rsidRPr="002E18CC">
        <w:rPr>
          <w:rFonts w:ascii="Calibri" w:hAnsi="Calibri"/>
          <w:bCs/>
          <w:sz w:val="22"/>
        </w:rPr>
        <w:t xml:space="preserve"> (termín 25. srpna 2016 – 12. února 2017): výstava představila 150 obrazů ústeckého grafika, malíře a jednoho z průkopníků fotografie E. G. Doerella (1832–1877). Jeho dílo jedinečným způsobem informuje o podobě zmizelé krajiny severozápadních Čech před nástupem industrializace, zároveň je důležitým pramenem pro poznání každodenního života v 19. století. Výstava měla bohatý doprovodný program, mimořádným počinem je vydání souhrnného díla „Ernst Gustav Doerell“ autorů Václava Houfka, Vladimíra Kaisera a Martina Koláře, nejobsáhlejší monografie věnované tomuto autorovi, která kromě životopisných údajů a katalogu obsahuje také umělecký rozbor jeho děl.</w:t>
      </w:r>
    </w:p>
    <w:p w:rsidR="00684E0F" w:rsidRDefault="00684E0F" w:rsidP="008F3CD9">
      <w:pPr>
        <w:spacing w:line="360" w:lineRule="auto"/>
        <w:ind w:firstLine="227"/>
        <w:jc w:val="both"/>
        <w:rPr>
          <w:rFonts w:ascii="Calibri" w:hAnsi="Calibri"/>
          <w:bCs/>
          <w:sz w:val="22"/>
        </w:rPr>
      </w:pPr>
    </w:p>
    <w:p w:rsidR="008F3CD9" w:rsidRDefault="008F3CD9" w:rsidP="008F3CD9">
      <w:pPr>
        <w:spacing w:line="360" w:lineRule="auto"/>
        <w:ind w:firstLine="227"/>
        <w:jc w:val="both"/>
        <w:rPr>
          <w:rFonts w:ascii="Calibri" w:hAnsi="Calibri"/>
          <w:bCs/>
          <w:sz w:val="22"/>
        </w:rPr>
      </w:pPr>
      <w:r w:rsidRPr="008F3CD9">
        <w:rPr>
          <w:rFonts w:ascii="Calibri" w:hAnsi="Calibri"/>
          <w:b/>
          <w:bCs/>
          <w:sz w:val="22"/>
        </w:rPr>
        <w:t>Cena Národního památkového ústavu Patrimonium pro futuro</w:t>
      </w:r>
      <w:r w:rsidRPr="008F3CD9">
        <w:rPr>
          <w:rFonts w:ascii="Calibri" w:hAnsi="Calibri"/>
          <w:bCs/>
          <w:sz w:val="22"/>
        </w:rPr>
        <w:t xml:space="preserve"> s podtitulem Společenské ocenění příkladů dobré praxe je Národním památkovým ústavem vyhlašována letos již po</w:t>
      </w:r>
      <w:r w:rsidR="001530DE">
        <w:rPr>
          <w:rFonts w:ascii="Calibri" w:hAnsi="Calibri"/>
          <w:bCs/>
          <w:sz w:val="22"/>
        </w:rPr>
        <w:t>čtvrté</w:t>
      </w:r>
      <w:r w:rsidRPr="008F3CD9">
        <w:rPr>
          <w:rFonts w:ascii="Calibri" w:hAnsi="Calibri"/>
          <w:bCs/>
          <w:sz w:val="22"/>
        </w:rPr>
        <w:t>. Smyslem ceny je upozornit na pozitivní příklady a příběhy v oblasti památkové péče, ukázat, co se povedlo, a</w:t>
      </w:r>
      <w:r w:rsidR="001530DE">
        <w:rPr>
          <w:rFonts w:ascii="Calibri" w:hAnsi="Calibri"/>
          <w:bCs/>
          <w:sz w:val="22"/>
        </w:rPr>
        <w:t> </w:t>
      </w:r>
      <w:r w:rsidRPr="008F3CD9">
        <w:rPr>
          <w:rFonts w:ascii="Calibri" w:hAnsi="Calibri"/>
          <w:bCs/>
          <w:sz w:val="22"/>
        </w:rPr>
        <w:t>ocenit ty, kteří se o to zasloužili. S výsledky hodnocení se veřejnost seznámí při slavnostním vyhlášení a</w:t>
      </w:r>
      <w:r w:rsidR="00206149">
        <w:rPr>
          <w:rFonts w:ascii="Calibri" w:hAnsi="Calibri"/>
          <w:bCs/>
          <w:sz w:val="22"/>
        </w:rPr>
        <w:t> </w:t>
      </w:r>
      <w:r w:rsidRPr="008F3CD9">
        <w:rPr>
          <w:rFonts w:ascii="Calibri" w:hAnsi="Calibri"/>
          <w:bCs/>
          <w:sz w:val="22"/>
        </w:rPr>
        <w:t>předání cen</w:t>
      </w:r>
      <w:r w:rsidR="00F866A1" w:rsidRPr="00F866A1">
        <w:rPr>
          <w:rFonts w:asciiTheme="minorHAnsi" w:hAnsiTheme="minorHAnsi"/>
          <w:bCs/>
          <w:sz w:val="22"/>
          <w:szCs w:val="22"/>
        </w:rPr>
        <w:t xml:space="preserve"> </w:t>
      </w:r>
      <w:r w:rsidR="00F866A1" w:rsidRPr="00F866A1">
        <w:rPr>
          <w:rFonts w:asciiTheme="minorHAnsi" w:hAnsiTheme="minorHAnsi"/>
          <w:sz w:val="22"/>
          <w:szCs w:val="22"/>
        </w:rPr>
        <w:t>dne 26. září 2017 na zámku v Bučovicích</w:t>
      </w:r>
      <w:r w:rsidRPr="008F3CD9">
        <w:rPr>
          <w:rFonts w:ascii="Calibri" w:hAnsi="Calibri"/>
          <w:bCs/>
          <w:sz w:val="22"/>
        </w:rPr>
        <w:t>.</w:t>
      </w:r>
      <w:bookmarkStart w:id="0" w:name="_GoBack"/>
      <w:bookmarkEnd w:id="0"/>
    </w:p>
    <w:p w:rsidR="00684E0F" w:rsidRPr="008F3CD9" w:rsidRDefault="00684E0F" w:rsidP="008F3CD9">
      <w:pPr>
        <w:spacing w:line="360" w:lineRule="auto"/>
        <w:ind w:firstLine="227"/>
        <w:jc w:val="both"/>
        <w:rPr>
          <w:rFonts w:ascii="Calibri" w:hAnsi="Calibri"/>
          <w:bCs/>
          <w:sz w:val="22"/>
        </w:rPr>
      </w:pPr>
    </w:p>
    <w:p w:rsidR="008F3CD9" w:rsidRDefault="008F3CD9" w:rsidP="008F3CD9">
      <w:pPr>
        <w:spacing w:line="360" w:lineRule="auto"/>
        <w:ind w:firstLine="227"/>
        <w:jc w:val="both"/>
        <w:rPr>
          <w:rFonts w:ascii="Calibri" w:hAnsi="Calibri"/>
          <w:b/>
          <w:bCs/>
          <w:sz w:val="22"/>
        </w:rPr>
      </w:pPr>
      <w:r w:rsidRPr="008F3CD9">
        <w:rPr>
          <w:rFonts w:ascii="Calibri" w:hAnsi="Calibri"/>
          <w:b/>
          <w:bCs/>
          <w:sz w:val="22"/>
        </w:rPr>
        <w:t>Své favority může podpořit i veřejnost v internetové anketě. Na základě výsledků hlasování bude při slavnostním vyhlášení a předávání Cen NPÚ Patrimonium pro futuro udělena i cena veřejnosti. Obě nominace za Ústecký kraj i jejich „soupeře“ z ostatních krajů proto v následujících měsících blíže představíme.</w:t>
      </w:r>
    </w:p>
    <w:p w:rsidR="00684E0F" w:rsidRPr="008F3CD9" w:rsidRDefault="00684E0F" w:rsidP="008F3CD9">
      <w:pPr>
        <w:spacing w:line="360" w:lineRule="auto"/>
        <w:ind w:firstLine="227"/>
        <w:jc w:val="both"/>
        <w:rPr>
          <w:rFonts w:ascii="Calibri" w:hAnsi="Calibri"/>
          <w:b/>
          <w:bCs/>
          <w:sz w:val="22"/>
        </w:rPr>
      </w:pPr>
    </w:p>
    <w:p w:rsidR="008F3CD9" w:rsidRDefault="008F3CD9" w:rsidP="008F3CD9">
      <w:pPr>
        <w:spacing w:line="360" w:lineRule="auto"/>
        <w:ind w:firstLine="227"/>
        <w:jc w:val="both"/>
        <w:rPr>
          <w:rFonts w:ascii="Calibri" w:hAnsi="Calibri"/>
          <w:bCs/>
          <w:sz w:val="22"/>
        </w:rPr>
      </w:pPr>
      <w:r w:rsidRPr="008F3CD9">
        <w:rPr>
          <w:rFonts w:ascii="Calibri" w:hAnsi="Calibri"/>
          <w:b/>
          <w:bCs/>
          <w:sz w:val="22"/>
        </w:rPr>
        <w:t>Národní památkový ústav, Územní odborné pracoviště v Ústí nad Labem</w:t>
      </w:r>
      <w:r w:rsidRPr="008F3CD9">
        <w:rPr>
          <w:rFonts w:ascii="Calibri" w:hAnsi="Calibri"/>
          <w:bCs/>
          <w:sz w:val="22"/>
        </w:rPr>
        <w:t xml:space="preserve"> zajišťuje úkoly státní památkové péče v rozsahu své územní působnosti, která zahrnuje okresy Děčín, Chomutov, Litoměřice, Louny, Most, Teplice a Ústí nad Labem. Přímo spravuje 2 objekty ve vlastnictví ČR, kostel sv. Floriána je celoročně přístupný veřejnosti s průvodcem od prosince 2013, zámek Krásné Březno, sídlo  územního odborného pracoviště, je zpřístupněn částečně při zvláštních příležitostech jako jsou výstavy a</w:t>
      </w:r>
      <w:r w:rsidR="00206149">
        <w:rPr>
          <w:rFonts w:ascii="Calibri" w:hAnsi="Calibri"/>
          <w:bCs/>
          <w:sz w:val="22"/>
        </w:rPr>
        <w:t> </w:t>
      </w:r>
      <w:r w:rsidRPr="008F3CD9">
        <w:rPr>
          <w:rFonts w:ascii="Calibri" w:hAnsi="Calibri"/>
          <w:bCs/>
          <w:sz w:val="22"/>
        </w:rPr>
        <w:t>přednášky.</w:t>
      </w:r>
    </w:p>
    <w:p w:rsidR="00684E0F" w:rsidRPr="002E18CC" w:rsidRDefault="00684E0F" w:rsidP="008F3CD9">
      <w:pPr>
        <w:spacing w:line="360" w:lineRule="auto"/>
        <w:ind w:firstLine="227"/>
        <w:jc w:val="both"/>
        <w:rPr>
          <w:rFonts w:ascii="Calibri" w:hAnsi="Calibri"/>
          <w:bCs/>
          <w:sz w:val="22"/>
        </w:rPr>
      </w:pPr>
    </w:p>
    <w:p w:rsidR="00895233" w:rsidRPr="00A573CB" w:rsidRDefault="00895233" w:rsidP="00CA6A90">
      <w:pPr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</w:rPr>
      </w:pPr>
      <w:r w:rsidRPr="00CA6A90">
        <w:rPr>
          <w:rFonts w:ascii="Calibri" w:hAnsi="Calibri"/>
          <w:b/>
          <w:sz w:val="22"/>
        </w:rPr>
        <w:t>Fotografie</w:t>
      </w:r>
      <w:r w:rsidRPr="00A573CB">
        <w:rPr>
          <w:rFonts w:ascii="Calibri" w:hAnsi="Calibri"/>
          <w:sz w:val="22"/>
        </w:rPr>
        <w:t xml:space="preserve"> v tiskové kvalitě jsou novinářům k dispozici zdarma na vyžádání.</w:t>
      </w:r>
    </w:p>
    <w:p w:rsidR="008F3CD9" w:rsidRDefault="00895233" w:rsidP="00CA6A90">
      <w:pPr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</w:rPr>
      </w:pPr>
      <w:r w:rsidRPr="00CA6A90">
        <w:rPr>
          <w:rFonts w:ascii="Calibri" w:hAnsi="Calibri" w:cs="Arial"/>
          <w:b/>
          <w:sz w:val="22"/>
        </w:rPr>
        <w:t xml:space="preserve">Kontakt: </w:t>
      </w:r>
      <w:r w:rsidRPr="00CA6A90">
        <w:rPr>
          <w:rFonts w:ascii="Calibri" w:hAnsi="Calibri"/>
          <w:sz w:val="22"/>
        </w:rPr>
        <w:t>Ing. arch. Daniel Vágner, PR pracovník ÚOP v Ústí nad Labem,</w:t>
      </w:r>
    </w:p>
    <w:p w:rsidR="00895233" w:rsidRPr="00E83862" w:rsidRDefault="00895233" w:rsidP="00684E0F">
      <w:pPr>
        <w:spacing w:line="276" w:lineRule="auto"/>
        <w:ind w:left="720"/>
        <w:jc w:val="both"/>
        <w:rPr>
          <w:sz w:val="22"/>
          <w:szCs w:val="22"/>
        </w:rPr>
      </w:pPr>
      <w:r w:rsidRPr="00CA6A90">
        <w:rPr>
          <w:rFonts w:ascii="Calibri" w:hAnsi="Calibri"/>
          <w:sz w:val="22"/>
        </w:rPr>
        <w:t xml:space="preserve">472 704 843, 778 403 915, </w:t>
      </w:r>
      <w:hyperlink r:id="rId7" w:history="1">
        <w:r w:rsidRPr="00CA6A90">
          <w:rPr>
            <w:rStyle w:val="Hypertextovodkaz"/>
            <w:rFonts w:ascii="Calibri" w:hAnsi="Calibri" w:cs="Arial"/>
            <w:sz w:val="22"/>
            <w:szCs w:val="22"/>
          </w:rPr>
          <w:t>vagner.daniel@npu.cz</w:t>
        </w:r>
      </w:hyperlink>
    </w:p>
    <w:sectPr w:rsidR="00895233" w:rsidRPr="00E83862" w:rsidSect="000A7088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91" w:rsidRDefault="00A84191">
      <w:r>
        <w:separator/>
      </w:r>
    </w:p>
  </w:endnote>
  <w:endnote w:type="continuationSeparator" w:id="0">
    <w:p w:rsidR="00A84191" w:rsidRDefault="00A8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33" w:rsidRPr="00547B22" w:rsidRDefault="00895233" w:rsidP="00007D21">
    <w:pPr>
      <w:pStyle w:val="Style1"/>
      <w:tabs>
        <w:tab w:val="right" w:pos="9071"/>
      </w:tabs>
      <w:rPr>
        <w:rFonts w:ascii="Calibri" w:hAnsi="Calibri"/>
        <w:sz w:val="18"/>
        <w:szCs w:val="18"/>
      </w:rPr>
    </w:pPr>
    <w:r w:rsidRPr="00547B22">
      <w:rPr>
        <w:rFonts w:ascii="Calibri" w:hAnsi="Calibri"/>
        <w:sz w:val="18"/>
        <w:szCs w:val="18"/>
      </w:rPr>
      <w:t>Národní památkový ústav, územní odborné pracoviště v Ú</w:t>
    </w:r>
    <w:r>
      <w:rPr>
        <w:rFonts w:ascii="Calibri" w:hAnsi="Calibri"/>
        <w:sz w:val="18"/>
        <w:szCs w:val="18"/>
      </w:rPr>
      <w:t>stí nad Labem | Podmokelská 1/15</w:t>
    </w:r>
    <w:r w:rsidRPr="00547B22">
      <w:rPr>
        <w:rFonts w:ascii="Calibri" w:hAnsi="Calibri"/>
        <w:sz w:val="18"/>
        <w:szCs w:val="18"/>
      </w:rPr>
      <w:t>, 400 07 Ústí nad Labem</w:t>
    </w:r>
    <w:r>
      <w:rPr>
        <w:rFonts w:ascii="Calibri" w:hAnsi="Calibri"/>
        <w:sz w:val="18"/>
        <w:szCs w:val="18"/>
      </w:rPr>
      <w:tab/>
    </w:r>
    <w:r>
      <w:rPr>
        <w:rStyle w:val="slostrnky"/>
        <w:rFonts w:cs="Arial"/>
        <w:color w:val="auto"/>
        <w:lang w:eastAsia="cs-CZ"/>
      </w:rPr>
      <w:fldChar w:fldCharType="begin"/>
    </w:r>
    <w:r>
      <w:rPr>
        <w:rStyle w:val="slostrnky"/>
        <w:rFonts w:cs="Arial"/>
        <w:color w:val="auto"/>
        <w:lang w:eastAsia="cs-CZ"/>
      </w:rPr>
      <w:instrText xml:space="preserve"> PAGE </w:instrText>
    </w:r>
    <w:r>
      <w:rPr>
        <w:rStyle w:val="slostrnky"/>
        <w:rFonts w:cs="Arial"/>
        <w:color w:val="auto"/>
        <w:lang w:eastAsia="cs-CZ"/>
      </w:rPr>
      <w:fldChar w:fldCharType="separate"/>
    </w:r>
    <w:r w:rsidR="00F866A1">
      <w:rPr>
        <w:rStyle w:val="slostrnky"/>
        <w:rFonts w:cs="Arial"/>
        <w:noProof/>
        <w:color w:val="auto"/>
        <w:lang w:eastAsia="cs-CZ"/>
      </w:rPr>
      <w:t>3</w:t>
    </w:r>
    <w:r>
      <w:rPr>
        <w:rStyle w:val="slostrnky"/>
        <w:rFonts w:cs="Arial"/>
        <w:color w:val="auto"/>
        <w:lang w:eastAsia="cs-CZ"/>
      </w:rPr>
      <w:fldChar w:fldCharType="end"/>
    </w:r>
  </w:p>
  <w:p w:rsidR="00895233" w:rsidRPr="00547B22" w:rsidRDefault="00895233" w:rsidP="00007D21">
    <w:pPr>
      <w:pStyle w:val="Style1"/>
      <w:rPr>
        <w:rFonts w:ascii="Calibri" w:hAnsi="Calibri"/>
        <w:sz w:val="18"/>
        <w:szCs w:val="18"/>
      </w:rPr>
    </w:pPr>
    <w:r w:rsidRPr="00547B22">
      <w:rPr>
        <w:rFonts w:ascii="Calibri" w:hAnsi="Calibri"/>
        <w:sz w:val="18"/>
        <w:szCs w:val="18"/>
      </w:rPr>
      <w:t>T +420 472 704 800 | F +420 472 704 888 | E epodatelna@npu.cz | DS 2cy8h6t | IČ 75032333 | DIČ CZ75032333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33" w:rsidRPr="00547B22" w:rsidRDefault="00895233" w:rsidP="00007D21">
    <w:pPr>
      <w:pStyle w:val="Style1"/>
      <w:tabs>
        <w:tab w:val="right" w:pos="9071"/>
      </w:tabs>
      <w:rPr>
        <w:rFonts w:ascii="Calibri" w:hAnsi="Calibri"/>
        <w:sz w:val="18"/>
        <w:szCs w:val="18"/>
      </w:rPr>
    </w:pPr>
    <w:r w:rsidRPr="00547B22">
      <w:rPr>
        <w:rFonts w:ascii="Calibri" w:hAnsi="Calibri"/>
        <w:sz w:val="18"/>
        <w:szCs w:val="18"/>
      </w:rPr>
      <w:t>Národní památkový ústav, územní odborné pracoviště v Ú</w:t>
    </w:r>
    <w:r>
      <w:rPr>
        <w:rFonts w:ascii="Calibri" w:hAnsi="Calibri"/>
        <w:sz w:val="18"/>
        <w:szCs w:val="18"/>
      </w:rPr>
      <w:t>stí nad Labem | Podmokelská 1</w:t>
    </w:r>
    <w:r w:rsidR="002E18CC">
      <w:rPr>
        <w:rFonts w:ascii="Calibri" w:hAnsi="Calibri"/>
        <w:sz w:val="18"/>
        <w:szCs w:val="18"/>
      </w:rPr>
      <w:t>/15</w:t>
    </w:r>
    <w:r w:rsidRPr="00547B22">
      <w:rPr>
        <w:rFonts w:ascii="Calibri" w:hAnsi="Calibri"/>
        <w:sz w:val="18"/>
        <w:szCs w:val="18"/>
      </w:rPr>
      <w:t>, 400 07 Ústí nad Labem</w:t>
    </w:r>
    <w:r>
      <w:rPr>
        <w:rFonts w:ascii="Calibri" w:hAnsi="Calibri"/>
        <w:sz w:val="18"/>
        <w:szCs w:val="18"/>
      </w:rPr>
      <w:tab/>
    </w:r>
    <w:r>
      <w:rPr>
        <w:rStyle w:val="slostrnky"/>
        <w:rFonts w:cs="Arial"/>
        <w:color w:val="auto"/>
        <w:lang w:eastAsia="cs-CZ"/>
      </w:rPr>
      <w:fldChar w:fldCharType="begin"/>
    </w:r>
    <w:r>
      <w:rPr>
        <w:rStyle w:val="slostrnky"/>
        <w:rFonts w:cs="Arial"/>
        <w:color w:val="auto"/>
        <w:lang w:eastAsia="cs-CZ"/>
      </w:rPr>
      <w:instrText xml:space="preserve"> PAGE </w:instrText>
    </w:r>
    <w:r>
      <w:rPr>
        <w:rStyle w:val="slostrnky"/>
        <w:rFonts w:cs="Arial"/>
        <w:color w:val="auto"/>
        <w:lang w:eastAsia="cs-CZ"/>
      </w:rPr>
      <w:fldChar w:fldCharType="separate"/>
    </w:r>
    <w:r w:rsidR="00F866A1">
      <w:rPr>
        <w:rStyle w:val="slostrnky"/>
        <w:rFonts w:cs="Arial"/>
        <w:noProof/>
        <w:color w:val="auto"/>
        <w:lang w:eastAsia="cs-CZ"/>
      </w:rPr>
      <w:t>1</w:t>
    </w:r>
    <w:r>
      <w:rPr>
        <w:rStyle w:val="slostrnky"/>
        <w:rFonts w:cs="Arial"/>
        <w:color w:val="auto"/>
        <w:lang w:eastAsia="cs-CZ"/>
      </w:rPr>
      <w:fldChar w:fldCharType="end"/>
    </w:r>
  </w:p>
  <w:p w:rsidR="00895233" w:rsidRPr="00547B22" w:rsidRDefault="00895233" w:rsidP="00007D21">
    <w:pPr>
      <w:pStyle w:val="Style1"/>
      <w:rPr>
        <w:rFonts w:ascii="Calibri" w:hAnsi="Calibri"/>
        <w:sz w:val="18"/>
        <w:szCs w:val="18"/>
      </w:rPr>
    </w:pPr>
    <w:r w:rsidRPr="00547B22">
      <w:rPr>
        <w:rFonts w:ascii="Calibri" w:hAnsi="Calibri"/>
        <w:sz w:val="18"/>
        <w:szCs w:val="18"/>
      </w:rPr>
      <w:t>T +420 472 704 800 | F +420 472 704 888 | E epodatelna@npu.cz | DS 2cy8h6t | IČ 75032333 | DIČ CZ75032333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91" w:rsidRDefault="00A84191">
      <w:r>
        <w:separator/>
      </w:r>
    </w:p>
  </w:footnote>
  <w:footnote w:type="continuationSeparator" w:id="0">
    <w:p w:rsidR="00A84191" w:rsidRDefault="00A84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33" w:rsidRDefault="00895233" w:rsidP="006E00AE">
    <w:pPr>
      <w:pStyle w:val="Zhlav"/>
      <w:tabs>
        <w:tab w:val="clear" w:pos="4536"/>
      </w:tabs>
      <w:ind w:left="-426"/>
    </w:pPr>
    <w:r>
      <w:rPr>
        <w:noProof/>
      </w:rPr>
      <w:t xml:space="preserve">   </w:t>
    </w:r>
    <w:r w:rsidR="001530DE">
      <w:rPr>
        <w:noProof/>
      </w:rPr>
      <w:drawing>
        <wp:inline distT="0" distB="0" distL="0" distR="0">
          <wp:extent cx="2524125" cy="923925"/>
          <wp:effectExtent l="0" t="0" r="9525" b="9525"/>
          <wp:docPr id="3" name="obrázek 3" descr="C:\Users\Vagner\Desktop\__šablony\logo\_logo_ÚOP ÚL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agner\Desktop\__šablony\logo\_logo_ÚOP ÚL_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F825A6"/>
    <w:multiLevelType w:val="multilevel"/>
    <w:tmpl w:val="F8A8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FC0FD9"/>
    <w:multiLevelType w:val="multilevel"/>
    <w:tmpl w:val="6746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35123E"/>
    <w:multiLevelType w:val="multilevel"/>
    <w:tmpl w:val="18E8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CC75226"/>
    <w:multiLevelType w:val="hybridMultilevel"/>
    <w:tmpl w:val="7B70F0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A3"/>
    <w:rsid w:val="000027B5"/>
    <w:rsid w:val="00002CB6"/>
    <w:rsid w:val="000037D1"/>
    <w:rsid w:val="00005301"/>
    <w:rsid w:val="00007D21"/>
    <w:rsid w:val="000127F7"/>
    <w:rsid w:val="00012BC3"/>
    <w:rsid w:val="000130DA"/>
    <w:rsid w:val="00015968"/>
    <w:rsid w:val="00015F11"/>
    <w:rsid w:val="00017D11"/>
    <w:rsid w:val="000235AF"/>
    <w:rsid w:val="00034F42"/>
    <w:rsid w:val="00043A75"/>
    <w:rsid w:val="00044057"/>
    <w:rsid w:val="00052197"/>
    <w:rsid w:val="00054E25"/>
    <w:rsid w:val="00054E2F"/>
    <w:rsid w:val="00057C4B"/>
    <w:rsid w:val="00065692"/>
    <w:rsid w:val="000658B9"/>
    <w:rsid w:val="0006626E"/>
    <w:rsid w:val="000750D9"/>
    <w:rsid w:val="00076243"/>
    <w:rsid w:val="0008290E"/>
    <w:rsid w:val="000849E9"/>
    <w:rsid w:val="00093493"/>
    <w:rsid w:val="000A2AA4"/>
    <w:rsid w:val="000A7088"/>
    <w:rsid w:val="000B19BA"/>
    <w:rsid w:val="000B4272"/>
    <w:rsid w:val="000B55D9"/>
    <w:rsid w:val="000C1B34"/>
    <w:rsid w:val="000C57E3"/>
    <w:rsid w:val="000C65D6"/>
    <w:rsid w:val="000D21D6"/>
    <w:rsid w:val="000D3929"/>
    <w:rsid w:val="000F2AEE"/>
    <w:rsid w:val="00102D9E"/>
    <w:rsid w:val="0010422C"/>
    <w:rsid w:val="001049DA"/>
    <w:rsid w:val="00114333"/>
    <w:rsid w:val="00123F75"/>
    <w:rsid w:val="001469AF"/>
    <w:rsid w:val="001472AE"/>
    <w:rsid w:val="001504EB"/>
    <w:rsid w:val="001530DE"/>
    <w:rsid w:val="001705AF"/>
    <w:rsid w:val="00170AB2"/>
    <w:rsid w:val="00170C64"/>
    <w:rsid w:val="00170F90"/>
    <w:rsid w:val="00176756"/>
    <w:rsid w:val="0018088A"/>
    <w:rsid w:val="00180B7F"/>
    <w:rsid w:val="00184A3A"/>
    <w:rsid w:val="001900C0"/>
    <w:rsid w:val="001922C3"/>
    <w:rsid w:val="00196363"/>
    <w:rsid w:val="00197F36"/>
    <w:rsid w:val="001A0F56"/>
    <w:rsid w:val="001A16E3"/>
    <w:rsid w:val="001A44BF"/>
    <w:rsid w:val="001A5654"/>
    <w:rsid w:val="001A59D5"/>
    <w:rsid w:val="001A6E7E"/>
    <w:rsid w:val="001B009D"/>
    <w:rsid w:val="001B4B19"/>
    <w:rsid w:val="001B4C41"/>
    <w:rsid w:val="001D4CA7"/>
    <w:rsid w:val="001E1425"/>
    <w:rsid w:val="001E4C24"/>
    <w:rsid w:val="001E7098"/>
    <w:rsid w:val="001E7405"/>
    <w:rsid w:val="001F0EC2"/>
    <w:rsid w:val="001F251B"/>
    <w:rsid w:val="001F289F"/>
    <w:rsid w:val="00202881"/>
    <w:rsid w:val="00206149"/>
    <w:rsid w:val="00210AB3"/>
    <w:rsid w:val="0021111A"/>
    <w:rsid w:val="002139E0"/>
    <w:rsid w:val="00215087"/>
    <w:rsid w:val="00217D52"/>
    <w:rsid w:val="002234C7"/>
    <w:rsid w:val="00225F14"/>
    <w:rsid w:val="00232AF3"/>
    <w:rsid w:val="0025044D"/>
    <w:rsid w:val="00251FAC"/>
    <w:rsid w:val="002566E8"/>
    <w:rsid w:val="00261A53"/>
    <w:rsid w:val="002628E8"/>
    <w:rsid w:val="00271C42"/>
    <w:rsid w:val="00271EFE"/>
    <w:rsid w:val="0027508C"/>
    <w:rsid w:val="00285671"/>
    <w:rsid w:val="002874D8"/>
    <w:rsid w:val="002917CD"/>
    <w:rsid w:val="00294A33"/>
    <w:rsid w:val="00294EB5"/>
    <w:rsid w:val="002A16B3"/>
    <w:rsid w:val="002A1AAA"/>
    <w:rsid w:val="002A1DDF"/>
    <w:rsid w:val="002A2563"/>
    <w:rsid w:val="002A6D61"/>
    <w:rsid w:val="002B02D6"/>
    <w:rsid w:val="002B5F1F"/>
    <w:rsid w:val="002B778C"/>
    <w:rsid w:val="002C775E"/>
    <w:rsid w:val="002D38DB"/>
    <w:rsid w:val="002D6344"/>
    <w:rsid w:val="002E18CC"/>
    <w:rsid w:val="002E5AA5"/>
    <w:rsid w:val="002F392B"/>
    <w:rsid w:val="002F5049"/>
    <w:rsid w:val="00303B1E"/>
    <w:rsid w:val="00304FBA"/>
    <w:rsid w:val="00305DF0"/>
    <w:rsid w:val="003160CF"/>
    <w:rsid w:val="00317E0D"/>
    <w:rsid w:val="00322F89"/>
    <w:rsid w:val="00327556"/>
    <w:rsid w:val="00330A8D"/>
    <w:rsid w:val="00333848"/>
    <w:rsid w:val="00333F90"/>
    <w:rsid w:val="00335E71"/>
    <w:rsid w:val="00336C5B"/>
    <w:rsid w:val="00340461"/>
    <w:rsid w:val="00341651"/>
    <w:rsid w:val="0034263A"/>
    <w:rsid w:val="00351D7F"/>
    <w:rsid w:val="00351DAB"/>
    <w:rsid w:val="00352472"/>
    <w:rsid w:val="00352905"/>
    <w:rsid w:val="0036097F"/>
    <w:rsid w:val="00360CC7"/>
    <w:rsid w:val="003635E6"/>
    <w:rsid w:val="00370385"/>
    <w:rsid w:val="003774C4"/>
    <w:rsid w:val="00384F2D"/>
    <w:rsid w:val="00385924"/>
    <w:rsid w:val="003879E2"/>
    <w:rsid w:val="00390721"/>
    <w:rsid w:val="003928C2"/>
    <w:rsid w:val="003930D0"/>
    <w:rsid w:val="003946A7"/>
    <w:rsid w:val="003949A9"/>
    <w:rsid w:val="0039646E"/>
    <w:rsid w:val="00397B56"/>
    <w:rsid w:val="003C2AF3"/>
    <w:rsid w:val="003C6D60"/>
    <w:rsid w:val="003C754A"/>
    <w:rsid w:val="003D33CD"/>
    <w:rsid w:val="003D3C3A"/>
    <w:rsid w:val="003D6D33"/>
    <w:rsid w:val="003D7B4C"/>
    <w:rsid w:val="003E05FB"/>
    <w:rsid w:val="003E3E26"/>
    <w:rsid w:val="003E57ED"/>
    <w:rsid w:val="003E5C53"/>
    <w:rsid w:val="003E7751"/>
    <w:rsid w:val="003F1CD0"/>
    <w:rsid w:val="003F2318"/>
    <w:rsid w:val="003F24B6"/>
    <w:rsid w:val="003F3210"/>
    <w:rsid w:val="003F5911"/>
    <w:rsid w:val="003F7C6B"/>
    <w:rsid w:val="0040013F"/>
    <w:rsid w:val="00400E92"/>
    <w:rsid w:val="004128D6"/>
    <w:rsid w:val="00421571"/>
    <w:rsid w:val="004231B6"/>
    <w:rsid w:val="0042678D"/>
    <w:rsid w:val="00440F59"/>
    <w:rsid w:val="004420E5"/>
    <w:rsid w:val="00460587"/>
    <w:rsid w:val="004605F9"/>
    <w:rsid w:val="00464A10"/>
    <w:rsid w:val="00464E09"/>
    <w:rsid w:val="00465376"/>
    <w:rsid w:val="00466A80"/>
    <w:rsid w:val="0046748E"/>
    <w:rsid w:val="00470CF8"/>
    <w:rsid w:val="0047506F"/>
    <w:rsid w:val="004765AA"/>
    <w:rsid w:val="00483012"/>
    <w:rsid w:val="004840B8"/>
    <w:rsid w:val="00486390"/>
    <w:rsid w:val="00490DEB"/>
    <w:rsid w:val="004A4B05"/>
    <w:rsid w:val="004A5D77"/>
    <w:rsid w:val="004A764B"/>
    <w:rsid w:val="004B2F21"/>
    <w:rsid w:val="004B4ECB"/>
    <w:rsid w:val="004B5CE5"/>
    <w:rsid w:val="004B7EB3"/>
    <w:rsid w:val="004D40DC"/>
    <w:rsid w:val="004F6441"/>
    <w:rsid w:val="004F71F3"/>
    <w:rsid w:val="00507A2C"/>
    <w:rsid w:val="00510444"/>
    <w:rsid w:val="0051131B"/>
    <w:rsid w:val="00512ECA"/>
    <w:rsid w:val="00514B61"/>
    <w:rsid w:val="0051609F"/>
    <w:rsid w:val="00523865"/>
    <w:rsid w:val="00525523"/>
    <w:rsid w:val="00533339"/>
    <w:rsid w:val="00535201"/>
    <w:rsid w:val="005373F9"/>
    <w:rsid w:val="005406DD"/>
    <w:rsid w:val="00544D7E"/>
    <w:rsid w:val="005450E2"/>
    <w:rsid w:val="00547B22"/>
    <w:rsid w:val="00547F89"/>
    <w:rsid w:val="0055333F"/>
    <w:rsid w:val="00554F7A"/>
    <w:rsid w:val="00555076"/>
    <w:rsid w:val="00555856"/>
    <w:rsid w:val="00564E89"/>
    <w:rsid w:val="00566567"/>
    <w:rsid w:val="005678C4"/>
    <w:rsid w:val="005744A2"/>
    <w:rsid w:val="0057521E"/>
    <w:rsid w:val="00575432"/>
    <w:rsid w:val="00590978"/>
    <w:rsid w:val="00593AC5"/>
    <w:rsid w:val="00597980"/>
    <w:rsid w:val="005A237D"/>
    <w:rsid w:val="005B009F"/>
    <w:rsid w:val="005B5913"/>
    <w:rsid w:val="005C3BC6"/>
    <w:rsid w:val="005C4701"/>
    <w:rsid w:val="005C5010"/>
    <w:rsid w:val="005D2CA9"/>
    <w:rsid w:val="005D43C9"/>
    <w:rsid w:val="005D78DE"/>
    <w:rsid w:val="005E007C"/>
    <w:rsid w:val="005E6B09"/>
    <w:rsid w:val="005E7BA3"/>
    <w:rsid w:val="005F1662"/>
    <w:rsid w:val="005F16C2"/>
    <w:rsid w:val="005F2B50"/>
    <w:rsid w:val="005F2C59"/>
    <w:rsid w:val="005F7B44"/>
    <w:rsid w:val="006003A9"/>
    <w:rsid w:val="006012A0"/>
    <w:rsid w:val="006068BE"/>
    <w:rsid w:val="00611D01"/>
    <w:rsid w:val="00613D0E"/>
    <w:rsid w:val="00623AC5"/>
    <w:rsid w:val="00627DD5"/>
    <w:rsid w:val="00631230"/>
    <w:rsid w:val="00633872"/>
    <w:rsid w:val="00640980"/>
    <w:rsid w:val="0064720B"/>
    <w:rsid w:val="0065015D"/>
    <w:rsid w:val="006553F9"/>
    <w:rsid w:val="00656334"/>
    <w:rsid w:val="00665610"/>
    <w:rsid w:val="006830B2"/>
    <w:rsid w:val="00684E0F"/>
    <w:rsid w:val="00690C9D"/>
    <w:rsid w:val="00696F0F"/>
    <w:rsid w:val="00697377"/>
    <w:rsid w:val="006A012E"/>
    <w:rsid w:val="006A19B8"/>
    <w:rsid w:val="006A237E"/>
    <w:rsid w:val="006A242C"/>
    <w:rsid w:val="006A4691"/>
    <w:rsid w:val="006B48DF"/>
    <w:rsid w:val="006B7D92"/>
    <w:rsid w:val="006C7A22"/>
    <w:rsid w:val="006D56C2"/>
    <w:rsid w:val="006E00AE"/>
    <w:rsid w:val="006E10C6"/>
    <w:rsid w:val="006E3FBB"/>
    <w:rsid w:val="006E6CEB"/>
    <w:rsid w:val="006E76C0"/>
    <w:rsid w:val="006F299C"/>
    <w:rsid w:val="006F62FC"/>
    <w:rsid w:val="00700E8F"/>
    <w:rsid w:val="00701196"/>
    <w:rsid w:val="00702E36"/>
    <w:rsid w:val="007044E1"/>
    <w:rsid w:val="00707328"/>
    <w:rsid w:val="00720169"/>
    <w:rsid w:val="007204FF"/>
    <w:rsid w:val="00721556"/>
    <w:rsid w:val="007313FF"/>
    <w:rsid w:val="0073200B"/>
    <w:rsid w:val="00734B4F"/>
    <w:rsid w:val="00735666"/>
    <w:rsid w:val="0073762D"/>
    <w:rsid w:val="00742302"/>
    <w:rsid w:val="00750E55"/>
    <w:rsid w:val="00752C73"/>
    <w:rsid w:val="007530E6"/>
    <w:rsid w:val="00757C78"/>
    <w:rsid w:val="00763967"/>
    <w:rsid w:val="00764609"/>
    <w:rsid w:val="00764BB9"/>
    <w:rsid w:val="0078519F"/>
    <w:rsid w:val="007905B4"/>
    <w:rsid w:val="007949A0"/>
    <w:rsid w:val="007A08E8"/>
    <w:rsid w:val="007B267F"/>
    <w:rsid w:val="007C12E3"/>
    <w:rsid w:val="007C1CAF"/>
    <w:rsid w:val="007C2E2F"/>
    <w:rsid w:val="007C36FE"/>
    <w:rsid w:val="007C4963"/>
    <w:rsid w:val="007C7220"/>
    <w:rsid w:val="007D329B"/>
    <w:rsid w:val="007D3EFD"/>
    <w:rsid w:val="007D4B3C"/>
    <w:rsid w:val="007E2B74"/>
    <w:rsid w:val="007E46A5"/>
    <w:rsid w:val="007E54C4"/>
    <w:rsid w:val="007E7586"/>
    <w:rsid w:val="007F361F"/>
    <w:rsid w:val="007F7E43"/>
    <w:rsid w:val="0080252F"/>
    <w:rsid w:val="00804C5A"/>
    <w:rsid w:val="008133E9"/>
    <w:rsid w:val="00817AB2"/>
    <w:rsid w:val="00820D2B"/>
    <w:rsid w:val="008222A5"/>
    <w:rsid w:val="00824C54"/>
    <w:rsid w:val="008275C5"/>
    <w:rsid w:val="0082783F"/>
    <w:rsid w:val="00836338"/>
    <w:rsid w:val="008402BC"/>
    <w:rsid w:val="00843B22"/>
    <w:rsid w:val="00850576"/>
    <w:rsid w:val="00851EB7"/>
    <w:rsid w:val="00852F44"/>
    <w:rsid w:val="00861788"/>
    <w:rsid w:val="00862704"/>
    <w:rsid w:val="008647C6"/>
    <w:rsid w:val="0086494D"/>
    <w:rsid w:val="008677FE"/>
    <w:rsid w:val="008708DB"/>
    <w:rsid w:val="00871EDE"/>
    <w:rsid w:val="00880010"/>
    <w:rsid w:val="00882707"/>
    <w:rsid w:val="00887538"/>
    <w:rsid w:val="00892035"/>
    <w:rsid w:val="0089215E"/>
    <w:rsid w:val="00895233"/>
    <w:rsid w:val="008961F5"/>
    <w:rsid w:val="0089751C"/>
    <w:rsid w:val="00897B72"/>
    <w:rsid w:val="008A767F"/>
    <w:rsid w:val="008B1473"/>
    <w:rsid w:val="008B20C6"/>
    <w:rsid w:val="008B2155"/>
    <w:rsid w:val="008B22FF"/>
    <w:rsid w:val="008B34C2"/>
    <w:rsid w:val="008B4065"/>
    <w:rsid w:val="008C3033"/>
    <w:rsid w:val="008C3873"/>
    <w:rsid w:val="008C508F"/>
    <w:rsid w:val="008D11D3"/>
    <w:rsid w:val="008D1940"/>
    <w:rsid w:val="008D2B22"/>
    <w:rsid w:val="008D3248"/>
    <w:rsid w:val="008D5004"/>
    <w:rsid w:val="008E0CD7"/>
    <w:rsid w:val="008E1473"/>
    <w:rsid w:val="008E554E"/>
    <w:rsid w:val="008E6175"/>
    <w:rsid w:val="008E6F48"/>
    <w:rsid w:val="008F3CD9"/>
    <w:rsid w:val="008F5ADA"/>
    <w:rsid w:val="009058DD"/>
    <w:rsid w:val="00910BFC"/>
    <w:rsid w:val="009116B7"/>
    <w:rsid w:val="0091172F"/>
    <w:rsid w:val="00912B8A"/>
    <w:rsid w:val="00913033"/>
    <w:rsid w:val="00914972"/>
    <w:rsid w:val="00920E2C"/>
    <w:rsid w:val="009217AF"/>
    <w:rsid w:val="00922649"/>
    <w:rsid w:val="0093016A"/>
    <w:rsid w:val="0093129C"/>
    <w:rsid w:val="00937B21"/>
    <w:rsid w:val="009436C7"/>
    <w:rsid w:val="00945B00"/>
    <w:rsid w:val="00955682"/>
    <w:rsid w:val="009567A8"/>
    <w:rsid w:val="0096767C"/>
    <w:rsid w:val="00972FB5"/>
    <w:rsid w:val="00973026"/>
    <w:rsid w:val="009760E6"/>
    <w:rsid w:val="00990277"/>
    <w:rsid w:val="009B1660"/>
    <w:rsid w:val="009B7CCC"/>
    <w:rsid w:val="009C2143"/>
    <w:rsid w:val="009D2B02"/>
    <w:rsid w:val="009D32CD"/>
    <w:rsid w:val="009E487B"/>
    <w:rsid w:val="009F639E"/>
    <w:rsid w:val="00A013C3"/>
    <w:rsid w:val="00A0271C"/>
    <w:rsid w:val="00A0303B"/>
    <w:rsid w:val="00A030A3"/>
    <w:rsid w:val="00A03CD3"/>
    <w:rsid w:val="00A0748E"/>
    <w:rsid w:val="00A113F8"/>
    <w:rsid w:val="00A168CB"/>
    <w:rsid w:val="00A17D3D"/>
    <w:rsid w:val="00A23A03"/>
    <w:rsid w:val="00A26EFD"/>
    <w:rsid w:val="00A30BC1"/>
    <w:rsid w:val="00A348FE"/>
    <w:rsid w:val="00A371DC"/>
    <w:rsid w:val="00A444DE"/>
    <w:rsid w:val="00A55C86"/>
    <w:rsid w:val="00A573CB"/>
    <w:rsid w:val="00A64A1D"/>
    <w:rsid w:val="00A66290"/>
    <w:rsid w:val="00A74352"/>
    <w:rsid w:val="00A8064B"/>
    <w:rsid w:val="00A828E4"/>
    <w:rsid w:val="00A82F31"/>
    <w:rsid w:val="00A84191"/>
    <w:rsid w:val="00A864B4"/>
    <w:rsid w:val="00A957A4"/>
    <w:rsid w:val="00A96639"/>
    <w:rsid w:val="00AA0622"/>
    <w:rsid w:val="00AA1CE5"/>
    <w:rsid w:val="00AA2DE2"/>
    <w:rsid w:val="00AA3862"/>
    <w:rsid w:val="00AA444D"/>
    <w:rsid w:val="00AB26E5"/>
    <w:rsid w:val="00AB3C30"/>
    <w:rsid w:val="00AB6134"/>
    <w:rsid w:val="00AC0C14"/>
    <w:rsid w:val="00AC2ED1"/>
    <w:rsid w:val="00AC560D"/>
    <w:rsid w:val="00AC6649"/>
    <w:rsid w:val="00AD3CF1"/>
    <w:rsid w:val="00AD6AE4"/>
    <w:rsid w:val="00AE2C1D"/>
    <w:rsid w:val="00AE3239"/>
    <w:rsid w:val="00AE3A28"/>
    <w:rsid w:val="00AE76BB"/>
    <w:rsid w:val="00AE7D62"/>
    <w:rsid w:val="00AF53DE"/>
    <w:rsid w:val="00AF6DFE"/>
    <w:rsid w:val="00B007C4"/>
    <w:rsid w:val="00B14CAC"/>
    <w:rsid w:val="00B17C00"/>
    <w:rsid w:val="00B25B53"/>
    <w:rsid w:val="00B31585"/>
    <w:rsid w:val="00B34B02"/>
    <w:rsid w:val="00B373F4"/>
    <w:rsid w:val="00B40161"/>
    <w:rsid w:val="00B42A2F"/>
    <w:rsid w:val="00B622D7"/>
    <w:rsid w:val="00B6390B"/>
    <w:rsid w:val="00B63C6E"/>
    <w:rsid w:val="00B65AB5"/>
    <w:rsid w:val="00B73575"/>
    <w:rsid w:val="00B74DEE"/>
    <w:rsid w:val="00B923FA"/>
    <w:rsid w:val="00B97682"/>
    <w:rsid w:val="00BA34F9"/>
    <w:rsid w:val="00BA5C3D"/>
    <w:rsid w:val="00BA5F3A"/>
    <w:rsid w:val="00BB2237"/>
    <w:rsid w:val="00BB6C6D"/>
    <w:rsid w:val="00BC3EBF"/>
    <w:rsid w:val="00BC46EB"/>
    <w:rsid w:val="00BC4903"/>
    <w:rsid w:val="00BC5DE4"/>
    <w:rsid w:val="00BD6046"/>
    <w:rsid w:val="00BE3D6F"/>
    <w:rsid w:val="00BE6C18"/>
    <w:rsid w:val="00BE6E5F"/>
    <w:rsid w:val="00BF248B"/>
    <w:rsid w:val="00BF5E9A"/>
    <w:rsid w:val="00C0077D"/>
    <w:rsid w:val="00C1385C"/>
    <w:rsid w:val="00C176A8"/>
    <w:rsid w:val="00C1775F"/>
    <w:rsid w:val="00C203E7"/>
    <w:rsid w:val="00C33F47"/>
    <w:rsid w:val="00C35AB6"/>
    <w:rsid w:val="00C43F99"/>
    <w:rsid w:val="00C44DCB"/>
    <w:rsid w:val="00C53862"/>
    <w:rsid w:val="00C55147"/>
    <w:rsid w:val="00C579E5"/>
    <w:rsid w:val="00C61D5C"/>
    <w:rsid w:val="00C66D79"/>
    <w:rsid w:val="00C677F6"/>
    <w:rsid w:val="00C70B3D"/>
    <w:rsid w:val="00C72089"/>
    <w:rsid w:val="00C74A6A"/>
    <w:rsid w:val="00C860CA"/>
    <w:rsid w:val="00C93889"/>
    <w:rsid w:val="00C9629C"/>
    <w:rsid w:val="00CA2A22"/>
    <w:rsid w:val="00CA6A90"/>
    <w:rsid w:val="00CB13B7"/>
    <w:rsid w:val="00CB1FC2"/>
    <w:rsid w:val="00CB25E2"/>
    <w:rsid w:val="00CB63E6"/>
    <w:rsid w:val="00CC06D1"/>
    <w:rsid w:val="00CC15A7"/>
    <w:rsid w:val="00CC1B35"/>
    <w:rsid w:val="00CC6550"/>
    <w:rsid w:val="00CD1AE3"/>
    <w:rsid w:val="00CD2FBA"/>
    <w:rsid w:val="00CD37C1"/>
    <w:rsid w:val="00CE18C6"/>
    <w:rsid w:val="00CF69EF"/>
    <w:rsid w:val="00D03CC1"/>
    <w:rsid w:val="00D071B7"/>
    <w:rsid w:val="00D1086B"/>
    <w:rsid w:val="00D261F9"/>
    <w:rsid w:val="00D30998"/>
    <w:rsid w:val="00D311E2"/>
    <w:rsid w:val="00D54AD1"/>
    <w:rsid w:val="00D57139"/>
    <w:rsid w:val="00D57261"/>
    <w:rsid w:val="00D6458D"/>
    <w:rsid w:val="00D76F5B"/>
    <w:rsid w:val="00D80CBF"/>
    <w:rsid w:val="00D84CCB"/>
    <w:rsid w:val="00D9003E"/>
    <w:rsid w:val="00D93F20"/>
    <w:rsid w:val="00D945CC"/>
    <w:rsid w:val="00D97C11"/>
    <w:rsid w:val="00DA1D2B"/>
    <w:rsid w:val="00DA2355"/>
    <w:rsid w:val="00DA32D4"/>
    <w:rsid w:val="00DA6121"/>
    <w:rsid w:val="00DC1EC2"/>
    <w:rsid w:val="00DC397C"/>
    <w:rsid w:val="00DD6141"/>
    <w:rsid w:val="00DE1A0E"/>
    <w:rsid w:val="00DE7AE0"/>
    <w:rsid w:val="00DF1296"/>
    <w:rsid w:val="00DF214D"/>
    <w:rsid w:val="00DF4940"/>
    <w:rsid w:val="00DF76D8"/>
    <w:rsid w:val="00E02409"/>
    <w:rsid w:val="00E035BE"/>
    <w:rsid w:val="00E04A19"/>
    <w:rsid w:val="00E1053E"/>
    <w:rsid w:val="00E124D6"/>
    <w:rsid w:val="00E12EB4"/>
    <w:rsid w:val="00E157BD"/>
    <w:rsid w:val="00E208D3"/>
    <w:rsid w:val="00E25CF4"/>
    <w:rsid w:val="00E331E9"/>
    <w:rsid w:val="00E414D1"/>
    <w:rsid w:val="00E47F0A"/>
    <w:rsid w:val="00E512B2"/>
    <w:rsid w:val="00E51DB0"/>
    <w:rsid w:val="00E564F6"/>
    <w:rsid w:val="00E56D97"/>
    <w:rsid w:val="00E62B39"/>
    <w:rsid w:val="00E67921"/>
    <w:rsid w:val="00E72370"/>
    <w:rsid w:val="00E74B75"/>
    <w:rsid w:val="00E83862"/>
    <w:rsid w:val="00E87F0A"/>
    <w:rsid w:val="00E9132F"/>
    <w:rsid w:val="00EA071A"/>
    <w:rsid w:val="00EA0AF9"/>
    <w:rsid w:val="00EA1316"/>
    <w:rsid w:val="00EA73DC"/>
    <w:rsid w:val="00EA7774"/>
    <w:rsid w:val="00EB2721"/>
    <w:rsid w:val="00EB44BE"/>
    <w:rsid w:val="00EB637E"/>
    <w:rsid w:val="00EC1B44"/>
    <w:rsid w:val="00ED13CF"/>
    <w:rsid w:val="00ED4445"/>
    <w:rsid w:val="00ED4F4D"/>
    <w:rsid w:val="00EE0FE7"/>
    <w:rsid w:val="00EE1EFC"/>
    <w:rsid w:val="00EE5FB9"/>
    <w:rsid w:val="00EF002B"/>
    <w:rsid w:val="00F00787"/>
    <w:rsid w:val="00F023AB"/>
    <w:rsid w:val="00F04088"/>
    <w:rsid w:val="00F040D9"/>
    <w:rsid w:val="00F05385"/>
    <w:rsid w:val="00F123A5"/>
    <w:rsid w:val="00F20DE3"/>
    <w:rsid w:val="00F262EA"/>
    <w:rsid w:val="00F27B96"/>
    <w:rsid w:val="00F34987"/>
    <w:rsid w:val="00F418E5"/>
    <w:rsid w:val="00F436C8"/>
    <w:rsid w:val="00F4721E"/>
    <w:rsid w:val="00F50EF5"/>
    <w:rsid w:val="00F53AC1"/>
    <w:rsid w:val="00F548EB"/>
    <w:rsid w:val="00F559A4"/>
    <w:rsid w:val="00F56FA6"/>
    <w:rsid w:val="00F64546"/>
    <w:rsid w:val="00F645F6"/>
    <w:rsid w:val="00F711F6"/>
    <w:rsid w:val="00F73AAF"/>
    <w:rsid w:val="00F8159C"/>
    <w:rsid w:val="00F82455"/>
    <w:rsid w:val="00F866A1"/>
    <w:rsid w:val="00F905DA"/>
    <w:rsid w:val="00F94D85"/>
    <w:rsid w:val="00F97E2F"/>
    <w:rsid w:val="00FA665C"/>
    <w:rsid w:val="00FB467A"/>
    <w:rsid w:val="00FC0AEB"/>
    <w:rsid w:val="00FC2564"/>
    <w:rsid w:val="00FC2B9A"/>
    <w:rsid w:val="00FC62F7"/>
    <w:rsid w:val="00FC75C7"/>
    <w:rsid w:val="00FC7BAA"/>
    <w:rsid w:val="00FD0735"/>
    <w:rsid w:val="00FD4632"/>
    <w:rsid w:val="00FE7C59"/>
    <w:rsid w:val="00FF0815"/>
    <w:rsid w:val="00FF2A4C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ACF188-F051-46C4-8BD3-E8725488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draznn">
    <w:name w:val="Emphasis"/>
    <w:basedOn w:val="Standardnpsmoodstavce"/>
    <w:uiPriority w:val="99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rFonts w:ascii="Calibri" w:hAnsi="Calibri" w:cs="Times New Roman"/>
      <w:b/>
      <w:bCs/>
      <w:lang w:eastAsia="en-US"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uiPriority w:val="99"/>
    <w:rsid w:val="00EF002B"/>
    <w:rPr>
      <w:rFonts w:ascii="Times New Roman" w:hAnsi="Times New Roman" w:cs="Times New Roman"/>
    </w:rPr>
  </w:style>
  <w:style w:type="paragraph" w:customStyle="1" w:styleId="Style1">
    <w:name w:val="Style1"/>
    <w:basedOn w:val="Normln"/>
    <w:uiPriority w:val="99"/>
    <w:rsid w:val="00007D21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styleId="slostrnky">
    <w:name w:val="page number"/>
    <w:basedOn w:val="Standardnpsmoodstavce"/>
    <w:uiPriority w:val="99"/>
    <w:rsid w:val="00007D21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gner.daniel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subject/>
  <dc:creator>Sommer</dc:creator>
  <cp:keywords/>
  <dc:description/>
  <cp:lastModifiedBy>Vagner</cp:lastModifiedBy>
  <cp:revision>2</cp:revision>
  <cp:lastPrinted>2017-01-13T13:05:00Z</cp:lastPrinted>
  <dcterms:created xsi:type="dcterms:W3CDTF">2017-05-15T07:32:00Z</dcterms:created>
  <dcterms:modified xsi:type="dcterms:W3CDTF">2017-05-15T07:32:00Z</dcterms:modified>
</cp:coreProperties>
</file>