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017" w:rsidRDefault="00811017" w:rsidP="00811017">
      <w:pPr>
        <w:rPr>
          <w:rFonts w:cstheme="minorHAnsi"/>
          <w:b/>
          <w:color w:val="7F7F7F"/>
          <w:sz w:val="32"/>
          <w:szCs w:val="32"/>
        </w:rPr>
      </w:pPr>
    </w:p>
    <w:p w:rsidR="00811017" w:rsidRPr="00B31465" w:rsidRDefault="00811017" w:rsidP="00811017">
      <w:pPr>
        <w:rPr>
          <w:rFonts w:cstheme="minorHAnsi"/>
          <w:b/>
          <w:color w:val="7F7F7F"/>
          <w:sz w:val="32"/>
          <w:szCs w:val="32"/>
        </w:rPr>
      </w:pPr>
      <w:r w:rsidRPr="00B31465">
        <w:rPr>
          <w:rFonts w:cstheme="minorHAnsi"/>
          <w:b/>
          <w:color w:val="7F7F7F"/>
          <w:sz w:val="32"/>
          <w:szCs w:val="32"/>
        </w:rPr>
        <w:t>TISKOVÁ ZPRÁVA</w:t>
      </w:r>
    </w:p>
    <w:p w:rsidR="00811017" w:rsidRPr="00E7651C" w:rsidRDefault="00811017" w:rsidP="00811017">
      <w:pPr>
        <w:pStyle w:val="Normlnweb"/>
        <w:spacing w:before="0" w:beforeAutospacing="0" w:after="113" w:afterAutospacing="0"/>
        <w:rPr>
          <w:rFonts w:asciiTheme="minorHAnsi" w:hAnsiTheme="minorHAnsi"/>
          <w:color w:val="808080" w:themeColor="background1" w:themeShade="80"/>
          <w:sz w:val="32"/>
          <w:szCs w:val="32"/>
        </w:rPr>
      </w:pPr>
      <w:r w:rsidRPr="00E7651C">
        <w:rPr>
          <w:rFonts w:asciiTheme="minorHAnsi" w:hAnsiTheme="minorHAnsi"/>
          <w:color w:val="808080" w:themeColor="background1" w:themeShade="80"/>
          <w:sz w:val="32"/>
          <w:szCs w:val="32"/>
        </w:rPr>
        <w:t>Památky za sebou mají další zkrácenou sezonu, návštěvnost přesáhla 3 miliony</w:t>
      </w:r>
    </w:p>
    <w:p w:rsidR="00811017" w:rsidRDefault="00811017" w:rsidP="00811017">
      <w:pPr>
        <w:pBdr>
          <w:bottom w:val="single" w:sz="4" w:space="1" w:color="auto"/>
        </w:pBdr>
        <w:rPr>
          <w:rFonts w:cstheme="minorHAnsi"/>
          <w:b/>
        </w:rPr>
      </w:pPr>
    </w:p>
    <w:p w:rsidR="00811017" w:rsidRPr="00B31465" w:rsidRDefault="00811017" w:rsidP="00811017">
      <w:pPr>
        <w:pBdr>
          <w:bottom w:val="single" w:sz="4" w:space="1" w:color="auto"/>
        </w:pBdr>
        <w:rPr>
          <w:rFonts w:cstheme="minorHAnsi"/>
          <w:b/>
        </w:rPr>
      </w:pPr>
      <w:r>
        <w:rPr>
          <w:rFonts w:cstheme="minorHAnsi"/>
          <w:b/>
        </w:rPr>
        <w:t>Praha 20</w:t>
      </w:r>
      <w:r w:rsidRPr="00B31465">
        <w:rPr>
          <w:rFonts w:cstheme="minorHAnsi"/>
          <w:b/>
        </w:rPr>
        <w:t xml:space="preserve">. </w:t>
      </w:r>
      <w:r>
        <w:rPr>
          <w:rFonts w:cstheme="minorHAnsi"/>
          <w:b/>
        </w:rPr>
        <w:t>října 2021</w:t>
      </w:r>
    </w:p>
    <w:p w:rsidR="00811017" w:rsidRDefault="00811017" w:rsidP="00811017">
      <w:pPr>
        <w:pStyle w:val="Normlnweb"/>
        <w:spacing w:before="0" w:beforeAutospacing="0" w:after="113" w:afterAutospacing="0"/>
        <w:jc w:val="both"/>
        <w:rPr>
          <w:rFonts w:asciiTheme="minorHAnsi" w:hAnsiTheme="minorHAnsi"/>
          <w:sz w:val="28"/>
          <w:szCs w:val="28"/>
        </w:rPr>
      </w:pPr>
      <w:r>
        <w:rPr>
          <w:rFonts w:asciiTheme="minorHAnsi" w:hAnsiTheme="minorHAnsi"/>
          <w:sz w:val="28"/>
          <w:szCs w:val="28"/>
        </w:rPr>
        <w:t xml:space="preserve">Státní hrady, zámky a další památky navštívilo letos 3,1 milionu lidí. Již druhým rokem se památky potýkají s poklesem návštěvnosti i výnosů z důvodu zkrácené sezony. Ta byla i letos zahájena s dvouměsíčním zpožděním kvůli </w:t>
      </w:r>
      <w:proofErr w:type="spellStart"/>
      <w:r>
        <w:rPr>
          <w:rFonts w:asciiTheme="minorHAnsi" w:hAnsiTheme="minorHAnsi"/>
          <w:sz w:val="28"/>
          <w:szCs w:val="28"/>
        </w:rPr>
        <w:t>koronavirové</w:t>
      </w:r>
      <w:proofErr w:type="spellEnd"/>
      <w:r>
        <w:rPr>
          <w:rFonts w:asciiTheme="minorHAnsi" w:hAnsiTheme="minorHAnsi"/>
          <w:sz w:val="28"/>
          <w:szCs w:val="28"/>
        </w:rPr>
        <w:t xml:space="preserve"> pandemii. </w:t>
      </w:r>
    </w:p>
    <w:p w:rsidR="00811017" w:rsidRDefault="00811017" w:rsidP="00811017">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br/>
        <w:t xml:space="preserve">Hlavní sezona na památkách letos začala až v červnu, běžně památky zahajují sezonu už od dubna. V porovnání s loňským rokem, v němž byla sezona rovněž zahájena téměř o dva měsíce později, poklesla letošní návštěvnost o 450 tisíc lidí, tedy téměř o 13 %. Památky s celoročním provozem však měly v loňském roce od ledna do poloviny března otevřeno, v letošním roce se zimní sezona z důvodu </w:t>
      </w:r>
      <w:proofErr w:type="spellStart"/>
      <w:r>
        <w:rPr>
          <w:rFonts w:asciiTheme="minorHAnsi" w:hAnsiTheme="minorHAnsi"/>
          <w:sz w:val="22"/>
          <w:szCs w:val="22"/>
        </w:rPr>
        <w:t>lockdownu</w:t>
      </w:r>
      <w:proofErr w:type="spellEnd"/>
      <w:r>
        <w:rPr>
          <w:rFonts w:asciiTheme="minorHAnsi" w:hAnsiTheme="minorHAnsi"/>
          <w:sz w:val="22"/>
          <w:szCs w:val="22"/>
        </w:rPr>
        <w:t xml:space="preserve"> uskutečnit nemohla. Ve srovnání s rokem 2019 je pokles ještě vyšší, do konce října 2019 navštívilo památky přes 5 milionů lidí, tj. o 38 % více než letos. </w:t>
      </w:r>
    </w:p>
    <w:p w:rsidR="00811017" w:rsidRDefault="00811017" w:rsidP="00811017">
      <w:pPr>
        <w:pStyle w:val="Normlnweb"/>
        <w:spacing w:before="0" w:beforeAutospacing="0" w:after="113" w:afterAutospacing="0"/>
        <w:jc w:val="both"/>
        <w:rPr>
          <w:rFonts w:asciiTheme="minorHAnsi" w:hAnsiTheme="minorHAnsi"/>
          <w:sz w:val="22"/>
          <w:szCs w:val="22"/>
        </w:rPr>
      </w:pPr>
      <w:proofErr w:type="spellStart"/>
      <w:r>
        <w:rPr>
          <w:rFonts w:asciiTheme="minorHAnsi" w:hAnsiTheme="minorHAnsi"/>
          <w:sz w:val="22"/>
          <w:szCs w:val="22"/>
        </w:rPr>
        <w:t>Koronavirová</w:t>
      </w:r>
      <w:proofErr w:type="spellEnd"/>
      <w:r>
        <w:rPr>
          <w:rFonts w:asciiTheme="minorHAnsi" w:hAnsiTheme="minorHAnsi"/>
          <w:sz w:val="22"/>
          <w:szCs w:val="22"/>
        </w:rPr>
        <w:t xml:space="preserve"> pandemie přinesla i nové trendy v návštěvnosti. Dlouhodobě nejvyhledávanějším objektům jako je Lednice, Hluboká a Český Krumlov, poklesla návštěvnost v některých případech až o polovinu, stejně jako loni však stoupá obliba hradních areálů. Objekty s exteriérovými prohlídkami, jako je Krakovec, Nový Hrádek u Lukova či Velhartice, mají letos vyšší návštěvnost než v roce 2019. Meziročně vyšší návštěvnost mají také tzv. Neobjevené památky jako např. zámky Krásný Dvůr, Janovice u Rýmařova, Nebílovy, Kozel či hrad Lipnice. V letošním roce byl vyšší zájem i o zámecké parky a zahrady, více vyhledávané jsou také památky, které pro návštěvníky připravily nové trasy a okruhy – zámky Litomyšl, Vranov nad Dyjí a Veltrusy nebo hrad Veveří. Dařilo se i památkám s dokončenou obnovou z evropských peněz, tedy zámkům Slatiňany a Vimperk a hradu Pernštejn. Ten začátkem sezony zpřístupnil obnovenou vrchnostenskou zahradu a byl hlavním centrem letošní </w:t>
      </w:r>
      <w:proofErr w:type="spellStart"/>
      <w:r>
        <w:rPr>
          <w:rFonts w:asciiTheme="minorHAnsi" w:hAnsiTheme="minorHAnsi"/>
          <w:sz w:val="22"/>
          <w:szCs w:val="22"/>
        </w:rPr>
        <w:t>Hradozámecké</w:t>
      </w:r>
      <w:proofErr w:type="spellEnd"/>
      <w:r>
        <w:rPr>
          <w:rFonts w:asciiTheme="minorHAnsi" w:hAnsiTheme="minorHAnsi"/>
          <w:sz w:val="22"/>
          <w:szCs w:val="22"/>
        </w:rPr>
        <w:t xml:space="preserve"> noci. Návštěvnost hradu Pernštejn letos stoupla natolik, že se stal „skokanem“ roku a nově se dostal i do top deseti nejnavštěvovanějších památek ve správě NPÚ. Dalšími skokany roku jsou např. hrady Točník a Žebrák či Zahrady pod Pražským hradem. </w:t>
      </w:r>
    </w:p>
    <w:p w:rsidR="00811017" w:rsidRDefault="00811017" w:rsidP="00811017">
      <w:pPr>
        <w:pStyle w:val="Normlnweb"/>
        <w:spacing w:before="0" w:beforeAutospacing="0" w:after="113" w:afterAutospacing="0"/>
        <w:jc w:val="both"/>
        <w:rPr>
          <w:rFonts w:asciiTheme="minorHAnsi" w:hAnsiTheme="minorHAnsi"/>
          <w:sz w:val="22"/>
          <w:szCs w:val="22"/>
        </w:rPr>
      </w:pPr>
      <w:proofErr w:type="spellStart"/>
      <w:r>
        <w:rPr>
          <w:rFonts w:asciiTheme="minorHAnsi" w:hAnsiTheme="minorHAnsi"/>
          <w:sz w:val="22"/>
          <w:szCs w:val="22"/>
        </w:rPr>
        <w:t>Koronavirová</w:t>
      </w:r>
      <w:proofErr w:type="spellEnd"/>
      <w:r>
        <w:rPr>
          <w:rFonts w:asciiTheme="minorHAnsi" w:hAnsiTheme="minorHAnsi"/>
          <w:sz w:val="22"/>
          <w:szCs w:val="22"/>
        </w:rPr>
        <w:t xml:space="preserve"> pandemie se zatím výrazně neprojevila na projektech obnovy památek. Z evropských peněz byly letos stavebně dokončeny projekty obnovy na zámcích Vimperk a Kunětická hora, obnoven a nově zpřístupněn pro veřejnost byl také Selský dvůr u Matoušů v Plzni-Bolevci. Do konce roku bude stavebně dokončena také obnova na zámku Uherčice a hradě Šternberk. Ze státních zdrojů bylo ukončeno 21 projektů obnovy, dalších 10 bude ukončeno do konce roku. Celkem 12 projektů bylo v letošním roce zahájeno – vzniknou tak nové expozice na zámku Kynžvart a hradě Velhartice, nové střechy a krovy dostane zámek Sychrov a klášter Sázava. </w:t>
      </w:r>
    </w:p>
    <w:p w:rsidR="00811017" w:rsidRDefault="00811017" w:rsidP="00811017">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 xml:space="preserve">V souvislosti s kratší sezonou a poklesem návštěvnosti došlo i k propadu výnosů. Vlastní výnosy do konce letošního září činí necelých 400 milionů korun, tedy o 155 mil. Kč méně než ke stejnému datu </w:t>
      </w:r>
      <w:r>
        <w:rPr>
          <w:rFonts w:asciiTheme="minorHAnsi" w:hAnsiTheme="minorHAnsi"/>
          <w:sz w:val="22"/>
          <w:szCs w:val="22"/>
        </w:rPr>
        <w:lastRenderedPageBreak/>
        <w:t xml:space="preserve">v roce 2019. Propad výnosů za celý loňský rok činil přes 190 mil. Kč, částku téměř 160 mil. Kč na dokrytí ztrát obdržel NPÚ od svého zřizovatele – Ministerstva kultury. </w:t>
      </w:r>
    </w:p>
    <w:p w:rsidR="00811017" w:rsidRDefault="00811017" w:rsidP="00811017">
      <w:pPr>
        <w:pStyle w:val="Normlnweb"/>
        <w:spacing w:before="0" w:beforeAutospacing="0" w:after="113" w:afterAutospacing="0"/>
        <w:jc w:val="both"/>
        <w:rPr>
          <w:rFonts w:asciiTheme="minorHAnsi" w:hAnsiTheme="minorHAnsi"/>
          <w:sz w:val="22"/>
          <w:szCs w:val="22"/>
        </w:rPr>
      </w:pPr>
    </w:p>
    <w:p w:rsidR="00811017" w:rsidRDefault="00811017" w:rsidP="00811017">
      <w:pPr>
        <w:pStyle w:val="Normlnweb"/>
        <w:spacing w:before="0" w:beforeAutospacing="0" w:after="113" w:afterAutospacing="0"/>
        <w:jc w:val="both"/>
        <w:rPr>
          <w:rFonts w:asciiTheme="minorHAnsi" w:hAnsiTheme="minorHAnsi"/>
          <w:b/>
          <w:sz w:val="22"/>
          <w:szCs w:val="22"/>
          <w:u w:val="single"/>
        </w:rPr>
      </w:pPr>
      <w:r w:rsidRPr="00B637F1">
        <w:rPr>
          <w:rFonts w:asciiTheme="minorHAnsi" w:hAnsiTheme="minorHAnsi"/>
          <w:b/>
          <w:sz w:val="22"/>
          <w:szCs w:val="22"/>
          <w:u w:val="single"/>
        </w:rPr>
        <w:t xml:space="preserve">10 nejnavštěvovanějších památek ve správě NPÚ </w:t>
      </w:r>
    </w:p>
    <w:p w:rsidR="00811017" w:rsidRDefault="00811017" w:rsidP="00811017">
      <w:pPr>
        <w:pStyle w:val="Normlnweb"/>
        <w:spacing w:before="0" w:beforeAutospacing="0" w:after="113" w:afterAutospacing="0"/>
        <w:jc w:val="both"/>
        <w:rPr>
          <w:rFonts w:asciiTheme="minorHAnsi" w:hAnsiTheme="minorHAnsi"/>
          <w:b/>
          <w:sz w:val="22"/>
          <w:szCs w:val="22"/>
          <w:u w:val="single"/>
        </w:rPr>
      </w:pPr>
    </w:p>
    <w:tbl>
      <w:tblPr>
        <w:tblStyle w:val="Mkatabulky"/>
        <w:tblW w:w="0" w:type="auto"/>
        <w:tblLook w:val="04A0" w:firstRow="1" w:lastRow="0" w:firstColumn="1" w:lastColumn="0" w:noHBand="0" w:noVBand="1"/>
      </w:tblPr>
      <w:tblGrid>
        <w:gridCol w:w="1696"/>
        <w:gridCol w:w="1324"/>
        <w:gridCol w:w="1653"/>
        <w:gridCol w:w="1367"/>
        <w:gridCol w:w="1610"/>
        <w:gridCol w:w="1410"/>
      </w:tblGrid>
      <w:tr w:rsidR="00811017" w:rsidTr="007E265D">
        <w:tc>
          <w:tcPr>
            <w:tcW w:w="3020" w:type="dxa"/>
            <w:gridSpan w:val="2"/>
          </w:tcPr>
          <w:p w:rsidR="00811017" w:rsidRPr="001F4B3E" w:rsidRDefault="00811017" w:rsidP="007E265D">
            <w:pPr>
              <w:pStyle w:val="Normlnweb"/>
              <w:spacing w:before="0" w:beforeAutospacing="0" w:after="113" w:afterAutospacing="0"/>
              <w:jc w:val="center"/>
              <w:rPr>
                <w:rFonts w:asciiTheme="minorHAnsi" w:hAnsiTheme="minorHAnsi"/>
                <w:sz w:val="22"/>
                <w:szCs w:val="22"/>
                <w:u w:val="single"/>
              </w:rPr>
            </w:pPr>
            <w:r>
              <w:rPr>
                <w:rFonts w:asciiTheme="minorHAnsi" w:hAnsiTheme="minorHAnsi"/>
                <w:b/>
                <w:sz w:val="22"/>
                <w:szCs w:val="22"/>
              </w:rPr>
              <w:t xml:space="preserve">rok 2021 </w:t>
            </w:r>
            <w:r>
              <w:rPr>
                <w:rFonts w:asciiTheme="minorHAnsi" w:hAnsiTheme="minorHAnsi"/>
                <w:sz w:val="22"/>
                <w:szCs w:val="22"/>
              </w:rPr>
              <w:t>(k 15. 10.)</w:t>
            </w:r>
          </w:p>
        </w:tc>
        <w:tc>
          <w:tcPr>
            <w:tcW w:w="3020" w:type="dxa"/>
            <w:gridSpan w:val="2"/>
          </w:tcPr>
          <w:p w:rsidR="00811017" w:rsidRPr="001F4B3E" w:rsidRDefault="00811017" w:rsidP="007E265D">
            <w:pPr>
              <w:pStyle w:val="Normlnweb"/>
              <w:spacing w:before="0" w:beforeAutospacing="0" w:after="113" w:afterAutospacing="0"/>
              <w:jc w:val="center"/>
              <w:rPr>
                <w:rFonts w:asciiTheme="minorHAnsi" w:hAnsiTheme="minorHAnsi"/>
                <w:sz w:val="22"/>
                <w:szCs w:val="22"/>
              </w:rPr>
            </w:pPr>
            <w:r>
              <w:rPr>
                <w:rFonts w:asciiTheme="minorHAnsi" w:hAnsiTheme="minorHAnsi"/>
                <w:b/>
                <w:sz w:val="22"/>
                <w:szCs w:val="22"/>
              </w:rPr>
              <w:t xml:space="preserve">rok </w:t>
            </w:r>
            <w:proofErr w:type="gramStart"/>
            <w:r>
              <w:rPr>
                <w:rFonts w:asciiTheme="minorHAnsi" w:hAnsiTheme="minorHAnsi"/>
                <w:b/>
                <w:sz w:val="22"/>
                <w:szCs w:val="22"/>
              </w:rPr>
              <w:t xml:space="preserve">2020 </w:t>
            </w:r>
            <w:r>
              <w:rPr>
                <w:rFonts w:asciiTheme="minorHAnsi" w:hAnsiTheme="minorHAnsi"/>
                <w:sz w:val="22"/>
                <w:szCs w:val="22"/>
              </w:rPr>
              <w:t>(k 12</w:t>
            </w:r>
            <w:proofErr w:type="gramEnd"/>
            <w:r>
              <w:rPr>
                <w:rFonts w:asciiTheme="minorHAnsi" w:hAnsiTheme="minorHAnsi"/>
                <w:sz w:val="22"/>
                <w:szCs w:val="22"/>
              </w:rPr>
              <w:t>. 10.)</w:t>
            </w:r>
          </w:p>
        </w:tc>
        <w:tc>
          <w:tcPr>
            <w:tcW w:w="3020" w:type="dxa"/>
            <w:gridSpan w:val="2"/>
          </w:tcPr>
          <w:p w:rsidR="00811017" w:rsidRPr="00C4170A" w:rsidRDefault="00811017" w:rsidP="007E265D">
            <w:pPr>
              <w:pStyle w:val="Normlnweb"/>
              <w:spacing w:before="0" w:beforeAutospacing="0" w:after="113" w:afterAutospacing="0"/>
              <w:jc w:val="center"/>
              <w:rPr>
                <w:rFonts w:asciiTheme="minorHAnsi" w:hAnsiTheme="minorHAnsi"/>
                <w:sz w:val="22"/>
                <w:szCs w:val="22"/>
                <w:u w:val="single"/>
              </w:rPr>
            </w:pPr>
            <w:r>
              <w:rPr>
                <w:rFonts w:asciiTheme="minorHAnsi" w:hAnsiTheme="minorHAnsi"/>
                <w:b/>
                <w:sz w:val="22"/>
                <w:szCs w:val="22"/>
              </w:rPr>
              <w:t xml:space="preserve">rok 2019 </w:t>
            </w:r>
            <w:r>
              <w:rPr>
                <w:rFonts w:asciiTheme="minorHAnsi" w:hAnsiTheme="minorHAnsi"/>
                <w:sz w:val="22"/>
                <w:szCs w:val="22"/>
              </w:rPr>
              <w:t>(k 30. 9.)</w:t>
            </w:r>
          </w:p>
        </w:tc>
      </w:tr>
      <w:tr w:rsidR="00811017" w:rsidTr="007E265D">
        <w:tc>
          <w:tcPr>
            <w:tcW w:w="1696"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Lednice</w:t>
            </w:r>
          </w:p>
        </w:tc>
        <w:tc>
          <w:tcPr>
            <w:tcW w:w="1324"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218 000</w:t>
            </w:r>
          </w:p>
        </w:tc>
        <w:tc>
          <w:tcPr>
            <w:tcW w:w="1653"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sidRPr="001F4B3E">
              <w:rPr>
                <w:rFonts w:asciiTheme="minorHAnsi" w:hAnsiTheme="minorHAnsi"/>
                <w:sz w:val="22"/>
                <w:szCs w:val="22"/>
              </w:rPr>
              <w:t>Lednice</w:t>
            </w:r>
          </w:p>
        </w:tc>
        <w:tc>
          <w:tcPr>
            <w:tcW w:w="1367"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256 000</w:t>
            </w:r>
          </w:p>
        </w:tc>
        <w:tc>
          <w:tcPr>
            <w:tcW w:w="1610"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Lednice</w:t>
            </w:r>
          </w:p>
        </w:tc>
        <w:tc>
          <w:tcPr>
            <w:tcW w:w="1410"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348 000</w:t>
            </w:r>
          </w:p>
        </w:tc>
      </w:tr>
      <w:tr w:rsidR="00811017" w:rsidTr="007E265D">
        <w:tc>
          <w:tcPr>
            <w:tcW w:w="1696"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Hluboká</w:t>
            </w:r>
          </w:p>
        </w:tc>
        <w:tc>
          <w:tcPr>
            <w:tcW w:w="1324"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135 000</w:t>
            </w:r>
          </w:p>
        </w:tc>
        <w:tc>
          <w:tcPr>
            <w:tcW w:w="1653"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sidRPr="001F4B3E">
              <w:rPr>
                <w:rFonts w:asciiTheme="minorHAnsi" w:hAnsiTheme="minorHAnsi"/>
                <w:sz w:val="22"/>
                <w:szCs w:val="22"/>
              </w:rPr>
              <w:t>Český Krumlov</w:t>
            </w:r>
          </w:p>
        </w:tc>
        <w:tc>
          <w:tcPr>
            <w:tcW w:w="1367"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190 800</w:t>
            </w:r>
          </w:p>
        </w:tc>
        <w:tc>
          <w:tcPr>
            <w:tcW w:w="1610"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Český Krumlov</w:t>
            </w:r>
          </w:p>
        </w:tc>
        <w:tc>
          <w:tcPr>
            <w:tcW w:w="1410"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328 000</w:t>
            </w:r>
          </w:p>
        </w:tc>
      </w:tr>
      <w:tr w:rsidR="00811017" w:rsidTr="007E265D">
        <w:tc>
          <w:tcPr>
            <w:tcW w:w="1696"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Český Krumlov</w:t>
            </w:r>
          </w:p>
        </w:tc>
        <w:tc>
          <w:tcPr>
            <w:tcW w:w="1324"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134 000</w:t>
            </w:r>
          </w:p>
        </w:tc>
        <w:tc>
          <w:tcPr>
            <w:tcW w:w="1653"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sidRPr="001F4B3E">
              <w:rPr>
                <w:rFonts w:asciiTheme="minorHAnsi" w:hAnsiTheme="minorHAnsi"/>
                <w:sz w:val="22"/>
                <w:szCs w:val="22"/>
              </w:rPr>
              <w:t xml:space="preserve">Hluboká </w:t>
            </w:r>
          </w:p>
        </w:tc>
        <w:tc>
          <w:tcPr>
            <w:tcW w:w="1367"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181 800</w:t>
            </w:r>
          </w:p>
        </w:tc>
        <w:tc>
          <w:tcPr>
            <w:tcW w:w="1610"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Hluboká</w:t>
            </w:r>
          </w:p>
        </w:tc>
        <w:tc>
          <w:tcPr>
            <w:tcW w:w="1410"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256 000</w:t>
            </w:r>
          </w:p>
        </w:tc>
      </w:tr>
      <w:tr w:rsidR="00811017" w:rsidTr="007E265D">
        <w:tc>
          <w:tcPr>
            <w:tcW w:w="1696"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Pernštejn</w:t>
            </w:r>
          </w:p>
        </w:tc>
        <w:tc>
          <w:tcPr>
            <w:tcW w:w="1324"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95 000</w:t>
            </w:r>
          </w:p>
        </w:tc>
        <w:tc>
          <w:tcPr>
            <w:tcW w:w="1653"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sidRPr="001F4B3E">
              <w:rPr>
                <w:rFonts w:asciiTheme="minorHAnsi" w:hAnsiTheme="minorHAnsi"/>
                <w:sz w:val="22"/>
                <w:szCs w:val="22"/>
              </w:rPr>
              <w:t xml:space="preserve">Valtice </w:t>
            </w:r>
          </w:p>
        </w:tc>
        <w:tc>
          <w:tcPr>
            <w:tcW w:w="1367"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134 300</w:t>
            </w:r>
          </w:p>
        </w:tc>
        <w:tc>
          <w:tcPr>
            <w:tcW w:w="1610"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Karlštejn</w:t>
            </w:r>
          </w:p>
        </w:tc>
        <w:tc>
          <w:tcPr>
            <w:tcW w:w="1410"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184 000</w:t>
            </w:r>
          </w:p>
        </w:tc>
      </w:tr>
      <w:tr w:rsidR="00811017" w:rsidTr="007E265D">
        <w:tc>
          <w:tcPr>
            <w:tcW w:w="1696"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Karlštejn</w:t>
            </w:r>
          </w:p>
        </w:tc>
        <w:tc>
          <w:tcPr>
            <w:tcW w:w="1324"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93 000</w:t>
            </w:r>
          </w:p>
        </w:tc>
        <w:tc>
          <w:tcPr>
            <w:tcW w:w="1653"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sidRPr="001F4B3E">
              <w:rPr>
                <w:rFonts w:asciiTheme="minorHAnsi" w:hAnsiTheme="minorHAnsi"/>
                <w:sz w:val="22"/>
                <w:szCs w:val="22"/>
              </w:rPr>
              <w:t xml:space="preserve">Karlštejn </w:t>
            </w:r>
          </w:p>
        </w:tc>
        <w:tc>
          <w:tcPr>
            <w:tcW w:w="1367"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120 100</w:t>
            </w:r>
          </w:p>
        </w:tc>
        <w:tc>
          <w:tcPr>
            <w:tcW w:w="1610"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 xml:space="preserve">Kroměříž </w:t>
            </w:r>
          </w:p>
        </w:tc>
        <w:tc>
          <w:tcPr>
            <w:tcW w:w="1410"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165 000</w:t>
            </w:r>
          </w:p>
        </w:tc>
      </w:tr>
      <w:tr w:rsidR="00811017" w:rsidTr="007E265D">
        <w:tc>
          <w:tcPr>
            <w:tcW w:w="1696"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Trosky</w:t>
            </w:r>
          </w:p>
        </w:tc>
        <w:tc>
          <w:tcPr>
            <w:tcW w:w="1324"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92 000</w:t>
            </w:r>
          </w:p>
        </w:tc>
        <w:tc>
          <w:tcPr>
            <w:tcW w:w="1653"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sidRPr="001F4B3E">
              <w:rPr>
                <w:rFonts w:asciiTheme="minorHAnsi" w:hAnsiTheme="minorHAnsi"/>
                <w:sz w:val="22"/>
                <w:szCs w:val="22"/>
              </w:rPr>
              <w:t>Trosky</w:t>
            </w:r>
          </w:p>
        </w:tc>
        <w:tc>
          <w:tcPr>
            <w:tcW w:w="1367"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99 800</w:t>
            </w:r>
            <w:r>
              <w:rPr>
                <w:rFonts w:asciiTheme="minorHAnsi" w:hAnsiTheme="minorHAnsi"/>
                <w:sz w:val="22"/>
                <w:szCs w:val="22"/>
              </w:rPr>
              <w:tab/>
            </w:r>
          </w:p>
        </w:tc>
        <w:tc>
          <w:tcPr>
            <w:tcW w:w="1610"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 xml:space="preserve">Valtice </w:t>
            </w:r>
          </w:p>
        </w:tc>
        <w:tc>
          <w:tcPr>
            <w:tcW w:w="1410"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154 000</w:t>
            </w:r>
          </w:p>
        </w:tc>
      </w:tr>
      <w:tr w:rsidR="00811017" w:rsidTr="007E265D">
        <w:tc>
          <w:tcPr>
            <w:tcW w:w="1696"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 xml:space="preserve">Kroměříž </w:t>
            </w:r>
          </w:p>
        </w:tc>
        <w:tc>
          <w:tcPr>
            <w:tcW w:w="1324"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85 000</w:t>
            </w:r>
          </w:p>
        </w:tc>
        <w:tc>
          <w:tcPr>
            <w:tcW w:w="1653"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sidRPr="001F4B3E">
              <w:rPr>
                <w:rFonts w:asciiTheme="minorHAnsi" w:hAnsiTheme="minorHAnsi"/>
                <w:sz w:val="22"/>
                <w:szCs w:val="22"/>
              </w:rPr>
              <w:t>Kroměříž</w:t>
            </w:r>
          </w:p>
        </w:tc>
        <w:tc>
          <w:tcPr>
            <w:tcW w:w="1367"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79 600</w:t>
            </w:r>
          </w:p>
        </w:tc>
        <w:tc>
          <w:tcPr>
            <w:tcW w:w="1610"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 xml:space="preserve">Konopiště </w:t>
            </w:r>
          </w:p>
        </w:tc>
        <w:tc>
          <w:tcPr>
            <w:tcW w:w="1410"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131 000</w:t>
            </w:r>
          </w:p>
        </w:tc>
      </w:tr>
      <w:tr w:rsidR="00811017" w:rsidTr="007E265D">
        <w:tc>
          <w:tcPr>
            <w:tcW w:w="1696"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Bouzov</w:t>
            </w:r>
          </w:p>
        </w:tc>
        <w:tc>
          <w:tcPr>
            <w:tcW w:w="1324"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79 000</w:t>
            </w:r>
          </w:p>
        </w:tc>
        <w:tc>
          <w:tcPr>
            <w:tcW w:w="1653"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sidRPr="001F4B3E">
              <w:rPr>
                <w:rFonts w:asciiTheme="minorHAnsi" w:hAnsiTheme="minorHAnsi"/>
                <w:sz w:val="22"/>
                <w:szCs w:val="22"/>
              </w:rPr>
              <w:t>Bouzov</w:t>
            </w:r>
          </w:p>
        </w:tc>
        <w:tc>
          <w:tcPr>
            <w:tcW w:w="1367"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76 800</w:t>
            </w:r>
            <w:r>
              <w:rPr>
                <w:rFonts w:asciiTheme="minorHAnsi" w:hAnsiTheme="minorHAnsi"/>
                <w:sz w:val="22"/>
                <w:szCs w:val="22"/>
              </w:rPr>
              <w:tab/>
            </w:r>
          </w:p>
        </w:tc>
        <w:tc>
          <w:tcPr>
            <w:tcW w:w="1610"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Trosky</w:t>
            </w:r>
          </w:p>
        </w:tc>
        <w:tc>
          <w:tcPr>
            <w:tcW w:w="1410"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111 000</w:t>
            </w:r>
          </w:p>
        </w:tc>
      </w:tr>
      <w:tr w:rsidR="00811017" w:rsidTr="007E265D">
        <w:tc>
          <w:tcPr>
            <w:tcW w:w="1696"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 xml:space="preserve">Veveří </w:t>
            </w:r>
          </w:p>
        </w:tc>
        <w:tc>
          <w:tcPr>
            <w:tcW w:w="1324"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75 000</w:t>
            </w:r>
          </w:p>
        </w:tc>
        <w:tc>
          <w:tcPr>
            <w:tcW w:w="1653"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sidRPr="001F4B3E">
              <w:rPr>
                <w:rFonts w:asciiTheme="minorHAnsi" w:hAnsiTheme="minorHAnsi"/>
                <w:sz w:val="22"/>
                <w:szCs w:val="22"/>
              </w:rPr>
              <w:t>Bečov</w:t>
            </w:r>
          </w:p>
        </w:tc>
        <w:tc>
          <w:tcPr>
            <w:tcW w:w="1367"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73 800</w:t>
            </w:r>
            <w:r>
              <w:rPr>
                <w:rFonts w:asciiTheme="minorHAnsi" w:hAnsiTheme="minorHAnsi"/>
                <w:sz w:val="22"/>
                <w:szCs w:val="22"/>
              </w:rPr>
              <w:tab/>
            </w:r>
          </w:p>
        </w:tc>
        <w:tc>
          <w:tcPr>
            <w:tcW w:w="1610"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Bouzov</w:t>
            </w:r>
          </w:p>
        </w:tc>
        <w:tc>
          <w:tcPr>
            <w:tcW w:w="1410"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101 000</w:t>
            </w:r>
          </w:p>
        </w:tc>
      </w:tr>
      <w:tr w:rsidR="00811017" w:rsidTr="007E265D">
        <w:tc>
          <w:tcPr>
            <w:tcW w:w="1696"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Buchlovice</w:t>
            </w:r>
          </w:p>
        </w:tc>
        <w:tc>
          <w:tcPr>
            <w:tcW w:w="1324"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68 000</w:t>
            </w:r>
          </w:p>
        </w:tc>
        <w:tc>
          <w:tcPr>
            <w:tcW w:w="1653"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sidRPr="001F4B3E">
              <w:rPr>
                <w:rFonts w:asciiTheme="minorHAnsi" w:hAnsiTheme="minorHAnsi"/>
                <w:sz w:val="22"/>
                <w:szCs w:val="22"/>
              </w:rPr>
              <w:t xml:space="preserve">Buchlovice </w:t>
            </w:r>
          </w:p>
        </w:tc>
        <w:tc>
          <w:tcPr>
            <w:tcW w:w="1367"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71 400</w:t>
            </w:r>
            <w:r>
              <w:rPr>
                <w:rFonts w:asciiTheme="minorHAnsi" w:hAnsiTheme="minorHAnsi"/>
                <w:sz w:val="22"/>
                <w:szCs w:val="22"/>
              </w:rPr>
              <w:tab/>
            </w:r>
          </w:p>
        </w:tc>
        <w:tc>
          <w:tcPr>
            <w:tcW w:w="1610"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Buchlovice</w:t>
            </w:r>
          </w:p>
        </w:tc>
        <w:tc>
          <w:tcPr>
            <w:tcW w:w="1410" w:type="dxa"/>
          </w:tcPr>
          <w:p w:rsidR="00811017" w:rsidRPr="001F4B3E" w:rsidRDefault="00811017" w:rsidP="007E265D">
            <w:pPr>
              <w:pStyle w:val="Normlnweb"/>
              <w:spacing w:before="0" w:beforeAutospacing="0" w:after="113" w:afterAutospacing="0"/>
              <w:jc w:val="both"/>
              <w:rPr>
                <w:rFonts w:asciiTheme="minorHAnsi" w:hAnsiTheme="minorHAnsi"/>
                <w:sz w:val="22"/>
                <w:szCs w:val="22"/>
              </w:rPr>
            </w:pPr>
            <w:r>
              <w:rPr>
                <w:rFonts w:asciiTheme="minorHAnsi" w:hAnsiTheme="minorHAnsi"/>
                <w:sz w:val="22"/>
                <w:szCs w:val="22"/>
              </w:rPr>
              <w:t>95 000</w:t>
            </w:r>
          </w:p>
        </w:tc>
      </w:tr>
    </w:tbl>
    <w:p w:rsidR="00811017" w:rsidRDefault="00811017" w:rsidP="00811017">
      <w:pPr>
        <w:pStyle w:val="Normlnweb"/>
        <w:spacing w:before="0" w:beforeAutospacing="0" w:after="113" w:afterAutospacing="0"/>
        <w:jc w:val="both"/>
        <w:rPr>
          <w:rFonts w:asciiTheme="minorHAnsi" w:hAnsiTheme="minorHAnsi"/>
          <w:b/>
          <w:sz w:val="22"/>
          <w:szCs w:val="22"/>
          <w:u w:val="single"/>
        </w:rPr>
      </w:pPr>
    </w:p>
    <w:p w:rsidR="00811017" w:rsidRDefault="00811017" w:rsidP="00811017">
      <w:pPr>
        <w:pStyle w:val="Normlnweb"/>
        <w:spacing w:before="0" w:beforeAutospacing="0" w:after="0" w:afterAutospacing="0"/>
        <w:jc w:val="both"/>
        <w:rPr>
          <w:rFonts w:asciiTheme="minorHAnsi" w:hAnsiTheme="minorHAnsi"/>
          <w:sz w:val="22"/>
          <w:szCs w:val="22"/>
        </w:rPr>
      </w:pPr>
    </w:p>
    <w:p w:rsidR="00811017" w:rsidRDefault="00811017" w:rsidP="00811017">
      <w:pPr>
        <w:pBdr>
          <w:bottom w:val="single" w:sz="6" w:space="0" w:color="auto"/>
        </w:pBdr>
        <w:jc w:val="both"/>
        <w:rPr>
          <w:rFonts w:cstheme="minorHAnsi"/>
          <w:sz w:val="20"/>
          <w:szCs w:val="20"/>
        </w:rPr>
      </w:pPr>
      <w:r w:rsidRPr="00C104A6">
        <w:rPr>
          <w:rFonts w:cstheme="minorHAnsi"/>
          <w:b/>
          <w:sz w:val="20"/>
          <w:szCs w:val="20"/>
        </w:rPr>
        <w:t>Národní památkový ústav</w:t>
      </w:r>
      <w:r w:rsidRPr="00C104A6">
        <w:rPr>
          <w:rFonts w:cstheme="minorHAnsi"/>
          <w:sz w:val="20"/>
          <w:szCs w:val="20"/>
        </w:rPr>
        <w:t xml:space="preserve"> </w:t>
      </w:r>
      <w:r>
        <w:rPr>
          <w:rFonts w:cstheme="minorHAnsi"/>
          <w:sz w:val="20"/>
          <w:szCs w:val="20"/>
        </w:rPr>
        <w:t xml:space="preserve">patří k nejvýznamnějším paměťovým institucím v České republice a </w:t>
      </w:r>
      <w:r w:rsidRPr="00C104A6">
        <w:rPr>
          <w:rFonts w:cstheme="minorHAnsi"/>
          <w:sz w:val="20"/>
          <w:szCs w:val="20"/>
        </w:rPr>
        <w:t>je</w:t>
      </w:r>
      <w:r>
        <w:rPr>
          <w:rFonts w:cstheme="minorHAnsi"/>
          <w:sz w:val="20"/>
          <w:szCs w:val="20"/>
        </w:rPr>
        <w:t xml:space="preserve"> zároveň</w:t>
      </w:r>
      <w:r w:rsidRPr="00C104A6">
        <w:rPr>
          <w:rFonts w:cstheme="minorHAnsi"/>
          <w:sz w:val="20"/>
          <w:szCs w:val="20"/>
        </w:rPr>
        <w:t xml:space="preserve"> největší příspěvkovou organizací Ministerstva kultury ČR. Současnými zákony, zejména zákonem památkovým, je mu svěřena řada odborných úkolů týkajících se státní památkové péče. Poskytuje např. odborné podklady pro rozhodnutí výkonných orgánů, metodicky působí na sjednocení přístupů při záchraně a rozvíjení hodnot památkového fondu na území ČR, jehož soupis také vede. Aktivně zasahuje do procesu prohlašování jednotlivých předmětů, objektů a území kulturními památkami a zajišťuje v rámci svých možností jejich dokumentaci. Pro výkon odborné složky památkové péče disponuje sítí 14 územních odborných pracovišť se sídlem v každém kraji. </w:t>
      </w:r>
      <w:r w:rsidRPr="0047704B">
        <w:rPr>
          <w:rFonts w:cstheme="minorHAnsi"/>
          <w:sz w:val="20"/>
          <w:szCs w:val="20"/>
        </w:rPr>
        <w:t>Jako vědecká a výzkumná organizace se Národní památkový ústav podílí na mnoha projektech, plní výzkumné úkoly, poskytuje odborné vzdělávání v</w:t>
      </w:r>
      <w:r>
        <w:rPr>
          <w:rFonts w:cstheme="minorHAnsi"/>
          <w:sz w:val="20"/>
          <w:szCs w:val="20"/>
        </w:rPr>
        <w:t xml:space="preserve"> oblasti památkové péče a ročně </w:t>
      </w:r>
      <w:r w:rsidRPr="0047704B">
        <w:rPr>
          <w:rFonts w:cstheme="minorHAnsi"/>
          <w:sz w:val="20"/>
          <w:szCs w:val="20"/>
        </w:rPr>
        <w:t>vydá</w:t>
      </w:r>
      <w:r>
        <w:rPr>
          <w:rFonts w:cstheme="minorHAnsi"/>
          <w:sz w:val="20"/>
          <w:szCs w:val="20"/>
        </w:rPr>
        <w:t xml:space="preserve">vá desítky </w:t>
      </w:r>
      <w:r w:rsidRPr="0047704B">
        <w:rPr>
          <w:rFonts w:cstheme="minorHAnsi"/>
          <w:sz w:val="20"/>
          <w:szCs w:val="20"/>
        </w:rPr>
        <w:t xml:space="preserve">publikací. </w:t>
      </w:r>
      <w:r w:rsidRPr="00C104A6">
        <w:rPr>
          <w:rFonts w:cstheme="minorHAnsi"/>
          <w:sz w:val="20"/>
          <w:szCs w:val="20"/>
        </w:rPr>
        <w:t xml:space="preserve">Vedle toho spravuje více než sto nemovitých památek v majetku státu, z nichž většina je </w:t>
      </w:r>
      <w:hyperlink r:id="rId4" w:history="1">
        <w:r w:rsidRPr="00C104A6">
          <w:rPr>
            <w:rFonts w:cstheme="minorHAnsi"/>
            <w:sz w:val="20"/>
            <w:szCs w:val="20"/>
          </w:rPr>
          <w:t>přístupná</w:t>
        </w:r>
      </w:hyperlink>
      <w:r w:rsidRPr="00C104A6">
        <w:rPr>
          <w:rFonts w:cstheme="minorHAnsi"/>
          <w:sz w:val="20"/>
          <w:szCs w:val="20"/>
        </w:rPr>
        <w:t xml:space="preserve"> veřejnosti. </w:t>
      </w:r>
    </w:p>
    <w:p w:rsidR="00811017" w:rsidRPr="00E94305" w:rsidRDefault="00811017" w:rsidP="00811017">
      <w:pPr>
        <w:pBdr>
          <w:bottom w:val="single" w:sz="6" w:space="0" w:color="auto"/>
        </w:pBdr>
        <w:jc w:val="both"/>
        <w:rPr>
          <w:rFonts w:cstheme="minorHAnsi"/>
          <w:sz w:val="20"/>
          <w:szCs w:val="20"/>
        </w:rPr>
      </w:pPr>
    </w:p>
    <w:p w:rsidR="00811017" w:rsidRPr="00E94305" w:rsidRDefault="00811017" w:rsidP="00811017">
      <w:pPr>
        <w:rPr>
          <w:rFonts w:cstheme="minorHAnsi"/>
        </w:rPr>
      </w:pPr>
      <w:r w:rsidRPr="00E94305">
        <w:rPr>
          <w:rFonts w:cstheme="minorHAnsi"/>
        </w:rPr>
        <w:t>Kontakt:</w:t>
      </w:r>
    </w:p>
    <w:p w:rsidR="003420B8" w:rsidRPr="00811017" w:rsidRDefault="00811017" w:rsidP="00811017">
      <w:pPr>
        <w:rPr>
          <w:rFonts w:cstheme="minorHAnsi"/>
        </w:rPr>
      </w:pPr>
      <w:r>
        <w:rPr>
          <w:rFonts w:cstheme="minorHAnsi"/>
        </w:rPr>
        <w:t>Jana Hartmanová</w:t>
      </w:r>
      <w:r w:rsidRPr="00E94305">
        <w:rPr>
          <w:rFonts w:cstheme="minorHAnsi"/>
        </w:rPr>
        <w:t>, tiskov</w:t>
      </w:r>
      <w:r>
        <w:rPr>
          <w:rFonts w:cstheme="minorHAnsi"/>
        </w:rPr>
        <w:t xml:space="preserve">á </w:t>
      </w:r>
      <w:r w:rsidRPr="00E94305">
        <w:rPr>
          <w:rFonts w:cstheme="minorHAnsi"/>
        </w:rPr>
        <w:t xml:space="preserve">mluvčí NPÚ, tel. +420 257 010 206, +420 724 511 225, </w:t>
      </w:r>
      <w:hyperlink r:id="rId5" w:history="1">
        <w:r w:rsidRPr="001570C7">
          <w:rPr>
            <w:rStyle w:val="Hypertextovodkaz"/>
            <w:rFonts w:cstheme="minorHAnsi"/>
          </w:rPr>
          <w:t>hartmanova.jana@npu.cz</w:t>
        </w:r>
      </w:hyperlink>
      <w:r>
        <w:rPr>
          <w:rFonts w:cstheme="minorHAnsi"/>
        </w:rPr>
        <w:t xml:space="preserve"> </w:t>
      </w:r>
      <w:bookmarkStart w:id="0" w:name="_GoBack"/>
      <w:bookmarkEnd w:id="0"/>
    </w:p>
    <w:sectPr w:rsidR="003420B8" w:rsidRPr="00811017" w:rsidSect="000A7088">
      <w:footerReference w:type="default" r:id="rId6"/>
      <w:headerReference w:type="first" r:id="rId7"/>
      <w:footerReference w:type="first" r:id="rId8"/>
      <w:pgSz w:w="11906" w:h="16838"/>
      <w:pgMar w:top="1418" w:right="1418" w:bottom="1418" w:left="1418" w:header="56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CB2" w:rsidRPr="007044E1" w:rsidRDefault="00811017"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 </w:t>
    </w:r>
    <w:r>
      <w:rPr>
        <w:rFonts w:ascii="Arial" w:hAnsi="Arial"/>
        <w:color w:val="000000"/>
        <w:sz w:val="16"/>
        <w:szCs w:val="16"/>
      </w:rPr>
      <w:t>–</w:t>
    </w:r>
    <w:r w:rsidRPr="007044E1">
      <w:rPr>
        <w:rFonts w:ascii="Arial" w:hAnsi="Arial"/>
        <w:color w:val="000000"/>
        <w:sz w:val="16"/>
        <w:szCs w:val="16"/>
      </w:rPr>
      <w:t xml:space="preserve"> Malá Strana, P. O. BOX 84</w:t>
    </w:r>
  </w:p>
  <w:p w:rsidR="00DA6CB2" w:rsidRPr="007044E1" w:rsidRDefault="00811017">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EA7774">
      <w:rPr>
        <w:rFonts w:ascii="Arial" w:hAnsi="Arial"/>
        <w:color w:val="000000"/>
        <w:sz w:val="16"/>
        <w:szCs w:val="16"/>
      </w:rPr>
      <w:t>,</w:t>
    </w:r>
    <w:r w:rsidRPr="00EA7774">
      <w:rPr>
        <w:rFonts w:ascii="Arial" w:hAnsi="Arial"/>
        <w:sz w:val="16"/>
        <w:szCs w:val="16"/>
      </w:rPr>
      <w:t xml:space="preserve"> e</w:t>
    </w:r>
    <w:r w:rsidRPr="00EA7774">
      <w:rPr>
        <w:rFonts w:ascii="Arial" w:hAnsi="Arial"/>
        <w:color w:val="000000"/>
        <w:sz w:val="16"/>
        <w:szCs w:val="16"/>
      </w:rPr>
      <w:t>-mail: epodate</w:t>
    </w:r>
    <w:r>
      <w:rPr>
        <w:rFonts w:ascii="Arial" w:hAnsi="Arial"/>
        <w:color w:val="000000"/>
        <w:sz w:val="16"/>
        <w:szCs w:val="16"/>
      </w:rPr>
      <w:t>l</w:t>
    </w:r>
    <w:r w:rsidRPr="00EA7774">
      <w:rPr>
        <w:rFonts w:ascii="Arial" w:hAnsi="Arial"/>
        <w:color w:val="000000"/>
        <w:sz w:val="16"/>
        <w:szCs w:val="16"/>
      </w:rPr>
      <w:t>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CB2" w:rsidRPr="007044E1" w:rsidRDefault="00811017"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w:t>
    </w:r>
    <w:r>
      <w:rPr>
        <w:rFonts w:ascii="Arial" w:hAnsi="Arial"/>
        <w:color w:val="000000"/>
        <w:sz w:val="16"/>
        <w:szCs w:val="16"/>
      </w:rPr>
      <w:t xml:space="preserve"> – </w:t>
    </w:r>
    <w:r w:rsidRPr="007044E1">
      <w:rPr>
        <w:rFonts w:ascii="Arial" w:hAnsi="Arial"/>
        <w:color w:val="000000"/>
        <w:sz w:val="16"/>
        <w:szCs w:val="16"/>
      </w:rPr>
      <w:t>Malá Strana, P. O. BOX 84</w:t>
    </w:r>
  </w:p>
  <w:p w:rsidR="00DA6CB2" w:rsidRPr="007044E1" w:rsidRDefault="00811017" w:rsidP="00AE3239">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7044E1">
      <w:rPr>
        <w:rFonts w:ascii="Arial" w:hAnsi="Arial"/>
        <w:color w:val="000000"/>
        <w:sz w:val="16"/>
        <w:szCs w:val="16"/>
      </w:rPr>
      <w:t>,</w:t>
    </w:r>
    <w:r w:rsidRPr="007044E1">
      <w:rPr>
        <w:rFonts w:ascii="Arial" w:hAnsi="Arial"/>
        <w:sz w:val="16"/>
        <w:szCs w:val="16"/>
      </w:rPr>
      <w:t xml:space="preserve"> </w:t>
    </w:r>
    <w:r w:rsidRPr="00EA7774">
      <w:rPr>
        <w:rFonts w:ascii="Arial" w:hAnsi="Arial"/>
        <w:sz w:val="16"/>
        <w:szCs w:val="16"/>
      </w:rPr>
      <w:t>e</w:t>
    </w:r>
    <w:r w:rsidRPr="00EA7774">
      <w:rPr>
        <w:rFonts w:ascii="Arial" w:hAnsi="Arial"/>
        <w:color w:val="000000"/>
        <w:sz w:val="16"/>
        <w:szCs w:val="16"/>
      </w:rPr>
      <w:t>-mail: epodatelna@npu.cz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p w:rsidR="00DA6CB2" w:rsidRPr="00330A8D" w:rsidRDefault="00811017">
    <w:pPr>
      <w:pStyle w:val="Zpat"/>
      <w:rPr>
        <w:rFonts w:ascii="Arial" w:hAnsi="Arial"/>
        <w:color w:val="000000"/>
        <w:sz w:val="16"/>
        <w:szCs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CB0" w:rsidRDefault="00811017" w:rsidP="006E00AE">
    <w:pPr>
      <w:pStyle w:val="Zhlav"/>
      <w:tabs>
        <w:tab w:val="clear" w:pos="4536"/>
      </w:tabs>
      <w:ind w:left="-426"/>
      <w:rPr>
        <w:noProof/>
      </w:rPr>
    </w:pPr>
  </w:p>
  <w:p w:rsidR="00DA6CB2" w:rsidRDefault="00811017" w:rsidP="006E00AE">
    <w:pPr>
      <w:pStyle w:val="Zhlav"/>
      <w:tabs>
        <w:tab w:val="clear" w:pos="4536"/>
      </w:tabs>
      <w:ind w:left="-426"/>
      <w:rPr>
        <w:noProof/>
      </w:rPr>
    </w:pPr>
    <w:r>
      <w:rPr>
        <w:noProof/>
      </w:rPr>
      <w:t xml:space="preserve">  </w:t>
    </w:r>
    <w:r>
      <w:rPr>
        <w:noProof/>
      </w:rPr>
      <w:drawing>
        <wp:inline distT="0" distB="0" distL="0" distR="0" wp14:anchorId="68C735FB" wp14:editId="3D6ED22C">
          <wp:extent cx="828675" cy="742950"/>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28675" cy="742950"/>
                  </a:xfrm>
                  <a:prstGeom prst="rect">
                    <a:avLst/>
                  </a:prstGeom>
                  <a:noFill/>
                  <a:ln w="9525">
                    <a:noFill/>
                    <a:miter lim="800000"/>
                    <a:headEnd/>
                    <a:tailEnd/>
                  </a:ln>
                </pic:spPr>
              </pic:pic>
            </a:graphicData>
          </a:graphic>
        </wp:inline>
      </w:drawing>
    </w:r>
    <w:r>
      <w:rPr>
        <w:noProof/>
      </w:rPr>
      <w:tab/>
    </w:r>
    <w:r w:rsidRPr="00956172">
      <w:rPr>
        <w:noProof/>
      </w:rPr>
      <w:t xml:space="preserve">  </w:t>
    </w:r>
    <w:r w:rsidRPr="00A941C0">
      <w:t xml:space="preserve"> </w:t>
    </w:r>
  </w:p>
  <w:p w:rsidR="00DA6CB2" w:rsidRDefault="00811017" w:rsidP="006E00AE">
    <w:pPr>
      <w:pStyle w:val="Zhlav"/>
      <w:tabs>
        <w:tab w:val="clear" w:pos="4536"/>
      </w:tabs>
      <w:ind w:left="-426"/>
      <w:rPr>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17"/>
    <w:rsid w:val="003420B8"/>
    <w:rsid w:val="008110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9F88D-84EE-49D6-A4B1-A4F0E052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11017"/>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811017"/>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811017"/>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811017"/>
    <w:rPr>
      <w:rFonts w:ascii="Times New Roman" w:eastAsia="Times New Roman" w:hAnsi="Times New Roman" w:cs="Times New Roman"/>
      <w:sz w:val="24"/>
      <w:szCs w:val="24"/>
      <w:lang w:eastAsia="cs-CZ"/>
    </w:rPr>
  </w:style>
  <w:style w:type="paragraph" w:styleId="Normlnweb">
    <w:name w:val="Normal (Web)"/>
    <w:basedOn w:val="Normln"/>
    <w:uiPriority w:val="99"/>
    <w:rsid w:val="00811017"/>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rsid w:val="00811017"/>
    <w:pPr>
      <w:spacing w:after="0" w:line="240" w:lineRule="auto"/>
    </w:pPr>
    <w:rPr>
      <w:rFonts w:ascii="Times New Roman" w:eastAsia="Times New Roman"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110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mailto:hartmanova.jana@npu.cz" TargetMode="External"/><Relationship Id="rId10" Type="http://schemas.openxmlformats.org/officeDocument/2006/relationships/theme" Target="theme/theme1.xml"/><Relationship Id="rId4" Type="http://schemas.openxmlformats.org/officeDocument/2006/relationships/hyperlink" Target="http://www.npu.cz/pro-navstevniky/" TargetMode="Externa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728</Words>
  <Characters>4298</Characters>
  <Application>Microsoft Office Word</Application>
  <DocSecurity>0</DocSecurity>
  <Lines>35</Lines>
  <Paragraphs>10</Paragraphs>
  <ScaleCrop>false</ScaleCrop>
  <Company/>
  <LinksUpToDate>false</LinksUpToDate>
  <CharactersWithSpaces>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Veberová Klára</dc:creator>
  <cp:keywords/>
  <dc:description/>
  <cp:lastModifiedBy>Veberová Klára</cp:lastModifiedBy>
  <cp:revision>1</cp:revision>
  <dcterms:created xsi:type="dcterms:W3CDTF">2021-10-21T09:58:00Z</dcterms:created>
  <dcterms:modified xsi:type="dcterms:W3CDTF">2021-10-21T10:00:00Z</dcterms:modified>
</cp:coreProperties>
</file>